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0"/>
        <w:rPr>
          <w:rFonts w:ascii="方正小标宋简体" w:hAnsi="方正小标宋简体" w:eastAsia="方正小标宋简体" w:cs="方正小标宋简体"/>
          <w:b w:val="0"/>
          <w:bCs w:val="0"/>
          <w:color w:val="auto"/>
          <w:sz w:val="44"/>
          <w:szCs w:val="44"/>
        </w:rPr>
      </w:pPr>
      <w:bookmarkStart w:id="0" w:name="_GoBack"/>
      <w:r>
        <w:rPr>
          <w:rFonts w:hint="eastAsia" w:ascii="方正小标宋简体" w:hAnsi="方正小标宋简体" w:eastAsia="方正小标宋简体" w:cs="方正小标宋简体"/>
          <w:b w:val="0"/>
          <w:bCs w:val="0"/>
          <w:color w:val="auto"/>
          <w:sz w:val="44"/>
          <w:szCs w:val="44"/>
          <w:lang w:val="en-US" w:eastAsia="zh-CN"/>
        </w:rPr>
        <w:t>2023年</w:t>
      </w:r>
      <w:r>
        <w:rPr>
          <w:rFonts w:hint="eastAsia" w:ascii="方正小标宋简体" w:hAnsi="方正小标宋简体" w:eastAsia="方正小标宋简体" w:cs="方正小标宋简体"/>
          <w:b w:val="0"/>
          <w:bCs w:val="0"/>
          <w:color w:val="auto"/>
          <w:sz w:val="44"/>
          <w:szCs w:val="44"/>
        </w:rPr>
        <w:t>福建省中小学校近视防控教室</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0"/>
        <w:rPr>
          <w:rFonts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照明改造工程技术指引</w:t>
      </w:r>
    </w:p>
    <w:bookmarkEnd w:id="0"/>
    <w:p>
      <w:pPr>
        <w:pageBreakBefore w:val="0"/>
        <w:kinsoku/>
        <w:topLinePunct w:val="0"/>
        <w:bidi w:val="0"/>
        <w:snapToGrid w:val="0"/>
        <w:spacing w:line="500" w:lineRule="exact"/>
        <w:jc w:val="center"/>
        <w:outlineLvl w:val="0"/>
        <w:rPr>
          <w:rFonts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640" w:firstLineChars="200"/>
        <w:outlineLvl w:val="0"/>
        <w:rPr>
          <w:rFonts w:ascii="黑体" w:hAnsi="黑体" w:eastAsia="黑体" w:cs="黑体"/>
          <w:color w:val="auto"/>
          <w:sz w:val="32"/>
          <w:szCs w:val="32"/>
        </w:rPr>
      </w:pPr>
      <w:r>
        <w:rPr>
          <w:rFonts w:hint="eastAsia" w:ascii="黑体" w:hAnsi="黑体" w:eastAsia="黑体" w:cs="黑体"/>
          <w:color w:val="auto"/>
          <w:sz w:val="32"/>
          <w:szCs w:val="32"/>
        </w:rPr>
        <w:t>一、编制背景</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落实习近平总书记关于学生近视问题的重要指示批示精神，根据教育部等八部委《综合防控儿童青少年近视实施方案》及教育部、国家卫生健康委、国家体育总局《全国综合防控儿童青少年近视工作评议考核办法（试行)》、福建省教育厅等八部门《福建省综合防控儿童青少年近视行动方案》要求，切实加强我省儿童青少年近视防控工作，落实教室采光和照明要求，切实改善视觉环境，逐步实现全省中小学校教室照明卫生标准达标率100％的目标，省委、省政府将中小学校近视防控教室照明改造工程列入2023年为民办实事项目，为确保项目顺利实施，特编制本技术指引。</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640" w:firstLineChars="200"/>
        <w:outlineLvl w:val="0"/>
        <w:rPr>
          <w:rFonts w:ascii="黑体" w:hAnsi="黑体" w:eastAsia="黑体" w:cs="黑体"/>
          <w:color w:val="auto"/>
          <w:sz w:val="32"/>
          <w:szCs w:val="32"/>
        </w:rPr>
      </w:pPr>
      <w:r>
        <w:rPr>
          <w:rFonts w:hint="eastAsia" w:ascii="黑体" w:hAnsi="黑体" w:eastAsia="黑体" w:cs="黑体"/>
          <w:color w:val="auto"/>
          <w:sz w:val="32"/>
          <w:szCs w:val="32"/>
        </w:rPr>
        <w:t>二、相关标准依据</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1.GB/T 5700《照明测量方法》</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2.GB7000.1《灯具</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第1部分：一般要求与试验》</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3.GB7000.201《灯具</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第2-1部分：特殊要求固定式通用灯具》</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4.GB7000.202《灯具第2-2部分：特殊要求嵌入式灯具》</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5.GB7793《中小学校教室采光和照明卫生标准》</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6.GB/T 9468《灯具分布光度测量的一般要求》</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576" w:firstLineChars="200"/>
        <w:outlineLvl w:val="0"/>
        <w:rPr>
          <w:rFonts w:hint="eastAsia" w:ascii="仿宋_GB2312" w:hAnsi="仿宋_GB2312" w:eastAsia="仿宋_GB2312" w:cs="仿宋_GB2312"/>
          <w:color w:val="auto"/>
          <w:w w:val="90"/>
          <w:sz w:val="32"/>
          <w:szCs w:val="32"/>
        </w:rPr>
      </w:pPr>
      <w:r>
        <w:rPr>
          <w:rFonts w:hint="eastAsia" w:ascii="仿宋_GB2312" w:hAnsi="仿宋_GB2312" w:eastAsia="仿宋_GB2312" w:cs="仿宋_GB2312"/>
          <w:color w:val="auto"/>
          <w:w w:val="90"/>
          <w:sz w:val="32"/>
          <w:szCs w:val="32"/>
        </w:rPr>
        <w:t>7.GB/T</w:t>
      </w:r>
      <w:r>
        <w:rPr>
          <w:rFonts w:hint="eastAsia" w:ascii="仿宋_GB2312" w:hAnsi="仿宋_GB2312" w:cs="仿宋_GB2312"/>
          <w:color w:val="auto"/>
          <w:w w:val="90"/>
          <w:sz w:val="32"/>
          <w:szCs w:val="32"/>
          <w:lang w:val="en-US" w:eastAsia="zh-CN"/>
        </w:rPr>
        <w:t xml:space="preserve"> </w:t>
      </w:r>
      <w:r>
        <w:rPr>
          <w:rFonts w:hint="eastAsia" w:ascii="仿宋_GB2312" w:hAnsi="仿宋_GB2312" w:eastAsia="仿宋_GB2312" w:cs="仿宋_GB2312"/>
          <w:color w:val="auto"/>
          <w:w w:val="90"/>
          <w:sz w:val="32"/>
          <w:szCs w:val="32"/>
        </w:rPr>
        <w:t>36876《中小学校普通教室照明设计安装卫生要求》</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8.GB/T 36979《 LED产品空间颜色分布测量方法》</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9.GB40070《儿童青少年学习用品近视防控卫生要求》</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10.GB50034《建筑照明设计标准》</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11.GB50099《中小学校设计规范》</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12.JGJ310《教育建筑电气设计规范》</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13.T/JYBZ 005《中小学教室照明技术规范》</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14.T/JYBZ 025《中小学教室光环境测量方法》</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15.QB/T 5533《教育照明灯具》</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640" w:firstLineChars="200"/>
        <w:jc w:val="both"/>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16.IEC TR 62778 IEC 62471中关于蓝光对光源和灯具的危害评估的应用（Application of IEC 62471 for the assessment of blue light hazard to light sources and luminaires)</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640" w:firstLineChars="200"/>
        <w:jc w:val="both"/>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17.IEC TR 61547-1普通照明用设备 EMC 抗扰度要求第1部分：光闪烁仪和电压波动抗干扰性试验方法( Equipment for general lighting purposes-EMC</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immunity requirements-Part1:An objective light flickermeter and voltage fluctuation immunity test method)</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640" w:firstLineChars="200"/>
        <w:outlineLvl w:val="0"/>
        <w:rPr>
          <w:rFonts w:ascii="黑体" w:hAnsi="黑体" w:eastAsia="黑体" w:cs="黑体"/>
          <w:color w:val="auto"/>
          <w:sz w:val="32"/>
          <w:szCs w:val="32"/>
        </w:rPr>
      </w:pPr>
      <w:r>
        <w:rPr>
          <w:rFonts w:hint="eastAsia" w:ascii="黑体" w:hAnsi="黑体" w:eastAsia="黑体" w:cs="黑体"/>
          <w:color w:val="auto"/>
          <w:sz w:val="32"/>
          <w:szCs w:val="32"/>
        </w:rPr>
        <w:t>三、总体要求</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default" w:ascii="仿宋_GB2312" w:hAnsi="仿宋_GB2312" w:cs="仿宋_GB2312"/>
          <w:color w:val="auto"/>
          <w:sz w:val="32"/>
          <w:szCs w:val="32"/>
          <w:lang w:val="en"/>
        </w:rPr>
        <w:t>.</w:t>
      </w:r>
      <w:r>
        <w:rPr>
          <w:rFonts w:hint="eastAsia" w:ascii="仿宋_GB2312" w:hAnsi="仿宋_GB2312" w:eastAsia="仿宋_GB2312" w:cs="仿宋_GB2312"/>
          <w:color w:val="auto"/>
          <w:sz w:val="32"/>
          <w:szCs w:val="32"/>
        </w:rPr>
        <w:t>本技术指引适用于普通教室灯光照明改造，本指引中所称的</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教室</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均指普通教室（包括有电子白板、投影等多媒体显示终端的普通教室）。</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640" w:firstLineChars="200"/>
        <w:outlineLvl w:val="0"/>
        <w:rPr>
          <w:rFonts w:hint="eastAsia" w:ascii="仿宋_GB2312" w:hAnsi="仿宋_GB2312" w:eastAsia="仿宋_GB2312" w:cs="仿宋_GB2312"/>
          <w:color w:val="auto"/>
          <w:sz w:val="32"/>
          <w:szCs w:val="32"/>
        </w:rPr>
      </w:pPr>
      <w:r>
        <w:rPr>
          <w:rFonts w:hint="default" w:ascii="仿宋_GB2312" w:hAnsi="仿宋_GB2312" w:cs="仿宋_GB2312"/>
          <w:color w:val="auto"/>
          <w:sz w:val="32"/>
          <w:szCs w:val="32"/>
          <w:lang w:val="en"/>
        </w:rPr>
        <w:t>2.</w:t>
      </w:r>
      <w:r>
        <w:rPr>
          <w:rFonts w:hint="eastAsia" w:ascii="仿宋_GB2312" w:hAnsi="仿宋_GB2312" w:eastAsia="仿宋_GB2312" w:cs="仿宋_GB2312"/>
          <w:color w:val="auto"/>
          <w:sz w:val="32"/>
          <w:szCs w:val="32"/>
        </w:rPr>
        <w:t>教室照明产品及教室照明环境的技术指标参照GB 7793、 GB/T36876、 GB40070、 GB50034、GB50099、 T /JYBZ</w:t>
      </w:r>
      <w:r>
        <w:rPr>
          <w:rFonts w:hint="default" w:ascii="仿宋_GB2312" w:hAnsi="仿宋_GB2312" w:cs="仿宋_GB2312"/>
          <w:color w:val="auto"/>
          <w:sz w:val="32"/>
          <w:szCs w:val="32"/>
          <w:lang w:val="en"/>
        </w:rPr>
        <w:t xml:space="preserve"> </w:t>
      </w:r>
      <w:r>
        <w:rPr>
          <w:rFonts w:hint="eastAsia" w:ascii="仿宋_GB2312" w:hAnsi="仿宋_GB2312" w:eastAsia="仿宋_GB2312" w:cs="仿宋_GB2312"/>
          <w:color w:val="auto"/>
          <w:sz w:val="32"/>
          <w:szCs w:val="32"/>
        </w:rPr>
        <w:t>005</w:t>
      </w:r>
      <w:r>
        <w:rPr>
          <w:rFonts w:hint="eastAsia" w:ascii="仿宋_GB2312" w:hAnsi="仿宋_GB2312" w:cs="仿宋_GB2312"/>
          <w:color w:val="auto"/>
          <w:sz w:val="32"/>
          <w:szCs w:val="32"/>
          <w:lang w:eastAsia="zh-CN"/>
        </w:rPr>
        <w:t>等的</w:t>
      </w:r>
      <w:r>
        <w:rPr>
          <w:rFonts w:hint="eastAsia" w:ascii="仿宋_GB2312" w:hAnsi="仿宋_GB2312" w:eastAsia="仿宋_GB2312" w:cs="仿宋_GB2312"/>
          <w:color w:val="auto"/>
          <w:sz w:val="32"/>
          <w:szCs w:val="32"/>
        </w:rPr>
        <w:t>相关内容执行。</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640" w:firstLineChars="200"/>
        <w:outlineLvl w:val="0"/>
        <w:rPr>
          <w:rFonts w:hint="eastAsia" w:ascii="仿宋_GB2312" w:hAnsi="仿宋_GB2312" w:eastAsia="仿宋_GB2312" w:cs="仿宋_GB2312"/>
          <w:color w:val="auto"/>
          <w:sz w:val="32"/>
          <w:szCs w:val="32"/>
        </w:rPr>
      </w:pPr>
      <w:r>
        <w:rPr>
          <w:rFonts w:hint="default" w:ascii="仿宋_GB2312" w:hAnsi="仿宋_GB2312" w:cs="仿宋_GB2312"/>
          <w:color w:val="auto"/>
          <w:sz w:val="32"/>
          <w:szCs w:val="32"/>
          <w:lang w:val="en"/>
        </w:rPr>
        <w:t>3.</w:t>
      </w:r>
      <w:r>
        <w:rPr>
          <w:rFonts w:hint="eastAsia" w:ascii="仿宋_GB2312" w:hAnsi="仿宋_GB2312" w:eastAsia="仿宋_GB2312" w:cs="仿宋_GB2312"/>
          <w:color w:val="auto"/>
          <w:sz w:val="32"/>
          <w:szCs w:val="32"/>
        </w:rPr>
        <w:t>教室照明设计安装要充分考虑儿童青少年生长发育特点，结合近视防控需求、建筑结构条件以及教室现有设备位置等实际情况，安装过程须符合相关工程规范。</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640" w:firstLineChars="200"/>
        <w:outlineLvl w:val="0"/>
        <w:rPr>
          <w:rFonts w:ascii="黑体" w:hAnsi="黑体" w:eastAsia="黑体" w:cs="黑体"/>
          <w:color w:val="auto"/>
          <w:sz w:val="32"/>
          <w:szCs w:val="32"/>
        </w:rPr>
      </w:pPr>
      <w:r>
        <w:rPr>
          <w:rFonts w:hint="eastAsia" w:ascii="黑体" w:hAnsi="黑体" w:eastAsia="黑体" w:cs="黑体"/>
          <w:color w:val="auto"/>
          <w:sz w:val="32"/>
          <w:szCs w:val="32"/>
        </w:rPr>
        <w:t>四、设计要求</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640" w:firstLineChars="200"/>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灯具安装之前，供应商应提供完整的照明设计方案，设计方案应覆盖所有改造的教室，其中教室尺寸、布局方式等应与学校实际情况一致，应充分考虑每间教室的房屋结构、风扇、投影仪等影响安装位置的情况，并由专业光环境模拟软件生成模拟报表，以及包括灯具施工安装平面图、灯具施工电路图。设计方案中必须包含以下要素：</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灯具型号和配光图，且必须和灯具检测报告一致。</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教室的长、宽、高尺寸，并用图示或位置坐标表示所有灯具的安装位置。</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模拟结果参数应不少于：教室维持平均照度及照度均匀度、黑板维持平均照度及照度</w:t>
      </w:r>
      <w:r>
        <w:rPr>
          <w:rFonts w:hint="eastAsia" w:ascii="仿宋_GB2312" w:hAnsi="仿宋_GB2312" w:cs="仿宋_GB2312"/>
          <w:color w:val="auto"/>
          <w:sz w:val="32"/>
          <w:szCs w:val="32"/>
          <w:lang w:eastAsia="zh-CN"/>
        </w:rPr>
        <w:t>均匀</w:t>
      </w:r>
      <w:r>
        <w:rPr>
          <w:rFonts w:hint="eastAsia" w:ascii="仿宋_GB2312" w:hAnsi="仿宋_GB2312" w:eastAsia="仿宋_GB2312" w:cs="仿宋_GB2312"/>
          <w:color w:val="auto"/>
          <w:sz w:val="32"/>
          <w:szCs w:val="32"/>
        </w:rPr>
        <w:t>度、眩光、照明功率密度等，设计方案计算结果应满足教室照明要求。</w:t>
      </w:r>
    </w:p>
    <w:p>
      <w:pPr>
        <w:keepNext w:val="0"/>
        <w:keepLines w:val="0"/>
        <w:pageBreakBefore w:val="0"/>
        <w:widowControl/>
        <w:suppressLineNumbers w:val="0"/>
        <w:kinsoku/>
        <w:topLinePunct w:val="0"/>
        <w:bidi w:val="0"/>
        <w:spacing w:line="500" w:lineRule="exact"/>
        <w:jc w:val="left"/>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根据照明设计方案中的安装要求，完成样板间的安装施工，依据本文件中的验收检测方法委托有 CMA 资质的省级及以上第三方检测机构进行检测，验证设计方案的性能效果，如实测的初始平均照度及均匀度超出设计值的</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w:t>
      </w:r>
      <w:r>
        <w:rPr>
          <w:rFonts w:hint="eastAsia" w:ascii="仿宋_GB2312" w:hAnsi="仿宋_GB2312" w:eastAsia="仿宋_GB2312" w:cs="仿宋_GB2312"/>
          <w:color w:val="auto"/>
          <w:sz w:val="32"/>
          <w:szCs w:val="32"/>
        </w:rPr>
        <w:t>10%，需要再次校验教室灯光效果模型并优化灯具配置方案，优化后的方案作为批量安装的依据。</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640" w:firstLineChars="200"/>
        <w:outlineLvl w:val="0"/>
        <w:rPr>
          <w:rFonts w:ascii="黑体" w:hAnsi="黑体" w:eastAsia="黑体" w:cs="黑体"/>
          <w:color w:val="auto"/>
          <w:sz w:val="32"/>
          <w:szCs w:val="32"/>
        </w:rPr>
      </w:pPr>
      <w:r>
        <w:rPr>
          <w:rFonts w:hint="eastAsia" w:ascii="黑体" w:hAnsi="黑体" w:eastAsia="黑体" w:cs="黑体"/>
          <w:color w:val="auto"/>
          <w:sz w:val="32"/>
          <w:szCs w:val="32"/>
        </w:rPr>
        <w:t>五、教室照明光环境要求</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1.教室课桌面上的维持平均照度值不应低于300 lx，照度均匀度不应低于0.7。在维持平均照度值300 lx的条件下，教室照明功率密度不大于8W/</w:t>
      </w:r>
      <w:r>
        <w:rPr>
          <w:rFonts w:ascii="仿宋_GB2312" w:hAnsi="仿宋_GB2312" w:eastAsia="仿宋_GB2312" w:cs="仿宋_GB2312"/>
          <w:color w:val="auto"/>
          <w:sz w:val="32"/>
          <w:szCs w:val="32"/>
        </w:rPr>
        <w:t>m</w:t>
      </w:r>
      <w:r>
        <w:rPr>
          <w:rFonts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2.教室黑板应设局部照明灯，其维持平均照度不应低于500 1x，照度均匀度不应低于0.8。</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3.照明维护系数应取0.8。</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4.教室照明改造采用色温3300K到5300K之间。显色指数Ra不低于90，R</w:t>
      </w:r>
      <w:r>
        <w:rPr>
          <w:rFonts w:hint="eastAsia" w:ascii="仿宋_GB2312" w:hAnsi="仿宋_GB2312" w:eastAsia="仿宋_GB2312" w:cs="仿宋_GB2312"/>
          <w:color w:val="auto"/>
          <w:sz w:val="32"/>
          <w:szCs w:val="32"/>
          <w:vertAlign w:val="subscript"/>
        </w:rPr>
        <w:t>9</w:t>
      </w:r>
      <w:r>
        <w:rPr>
          <w:rFonts w:hint="eastAsia" w:ascii="仿宋_GB2312" w:hAnsi="仿宋_GB2312" w:eastAsia="仿宋_GB2312" w:cs="仿宋_GB2312"/>
          <w:color w:val="auto"/>
          <w:sz w:val="32"/>
          <w:szCs w:val="32"/>
        </w:rPr>
        <w:t>大于50。</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5.教室的统一眩光值（UGR）不高于16。</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6.教室空间亮度分布应防止过高的亮度对比，视觉任务表面（包括课桌面与黑板面）之间的最大与最小融合照度之比不应高于10∶1。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7.教室照明宜实现4组或以上的光照度场景：上课模式、课后模式、自习模式、多媒体教学模式，通过物理开关或软件实现不同光照度场景间的切换。</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上课模式：教室灯、黑板灯全开；</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课后模式：教室灯、黑板灯全关；</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自习模式：教室灯全开、黑板灯全关；</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多媒体模式:</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a.投影幕布、电子白板：教室灯全开、同排关闭1盏黑板灯</w:t>
      </w:r>
      <w:r>
        <w:rPr>
          <w:rFonts w:hint="eastAsia" w:ascii="仿宋_GB2312" w:hAnsi="仿宋_GB2312" w:eastAsia="仿宋_GB2312" w:cs="仿宋_GB2312"/>
          <w:color w:val="auto"/>
          <w:sz w:val="32"/>
          <w:szCs w:val="32"/>
          <w:lang w:val="en-US"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b.一体机、智慧黑板：教室灯、黑板灯全开。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六、灯具、光源及相关辅材要求</w:t>
      </w:r>
    </w:p>
    <w:p>
      <w:pPr>
        <w:pStyle w:val="7"/>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1.</w:t>
      </w:r>
      <w:r>
        <w:rPr>
          <w:rFonts w:hint="eastAsia" w:ascii="仿宋_GB2312" w:hAnsi="仿宋_GB2312" w:eastAsia="仿宋_GB2312" w:cs="仿宋_GB2312"/>
          <w:color w:val="auto"/>
          <w:kern w:val="2"/>
          <w:sz w:val="32"/>
          <w:szCs w:val="32"/>
        </w:rPr>
        <w:t>教室灯具应选用LED灯具，符合国家“CCC”产品认证要求，应具有有效期内的“CCC”认证证书。</w:t>
      </w:r>
    </w:p>
    <w:p>
      <w:pPr>
        <w:pStyle w:val="7"/>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w:t>
      </w:r>
      <w:r>
        <w:rPr>
          <w:rFonts w:hint="eastAsia" w:ascii="仿宋_GB2312" w:hAnsi="仿宋_GB2312" w:eastAsia="仿宋_GB2312" w:cs="仿宋_GB2312"/>
          <w:color w:val="auto"/>
          <w:kern w:val="2"/>
          <w:sz w:val="32"/>
          <w:szCs w:val="32"/>
          <w:lang w:val="en-US" w:eastAsia="zh-CN"/>
        </w:rPr>
        <w:t>.</w:t>
      </w:r>
      <w:r>
        <w:rPr>
          <w:rFonts w:hint="eastAsia" w:ascii="仿宋_GB2312" w:hAnsi="仿宋_GB2312" w:eastAsia="仿宋_GB2312" w:cs="仿宋_GB2312"/>
          <w:color w:val="auto"/>
          <w:kern w:val="2"/>
          <w:sz w:val="32"/>
          <w:szCs w:val="32"/>
        </w:rPr>
        <w:t>教室灯具产品应符合QB/T 5533的要求，需提供相关性能的CMA检测报告。灯具性能检测报告内容应至少包括：光通量、灯具效能、灯功率、功率因数、显色指数（至少有Ra和R9）、相关色温、色容差、视网膜蓝光危害、闪烁、频闪效应等项目，以上指标宜在一份报告中体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3.教室灯具光源的色温应为3300K-5300K，色温的色度坐标值应符合表1的规定，色度坐标的初始值应在色度坐标目标值5SDCM（色匹配的标准偏差）之内。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ascii="仿宋_GB2312" w:hAnsi="仿宋_GB2312" w:eastAsia="仿宋_GB2312" w:cs="仿宋_GB2312"/>
          <w:color w:val="auto"/>
          <w:szCs w:val="24"/>
        </w:rPr>
      </w:pPr>
      <w:r>
        <w:rPr>
          <w:rFonts w:hint="eastAsia" w:ascii="仿宋_GB2312" w:hAnsi="仿宋_GB2312" w:eastAsia="仿宋_GB2312" w:cs="仿宋_GB2312"/>
          <w:color w:val="auto"/>
          <w:szCs w:val="24"/>
        </w:rPr>
        <w:t>表1  色度坐标</w:t>
      </w:r>
    </w:p>
    <w:tbl>
      <w:tblPr>
        <w:tblStyle w:val="5"/>
        <w:tblW w:w="824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861"/>
        <w:gridCol w:w="2747"/>
        <w:gridCol w:w="26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7" w:hRule="atLeast"/>
          <w:tblHeader/>
          <w:jc w:val="center"/>
        </w:trPr>
        <w:tc>
          <w:tcPr>
            <w:tcW w:w="2861" w:type="dxa"/>
            <w:vMerge w:val="restart"/>
            <w:tcBorders>
              <w:tl2br w:val="nil"/>
              <w:tr2bl w:val="nil"/>
            </w:tcBorders>
            <w:shd w:val="clear" w:color="auto" w:fill="FFFFFF"/>
            <w:noWrap w:val="0"/>
            <w:vAlign w:val="center"/>
          </w:tcPr>
          <w:p>
            <w:pPr>
              <w:keepNext w:val="0"/>
              <w:keepLines w:val="0"/>
              <w:pageBreakBefore w:val="0"/>
              <w:widowControl w:val="0"/>
              <w:wordWrap/>
              <w:overflowPunct/>
              <w:topLinePunct w:val="0"/>
              <w:autoSpaceDE/>
              <w:autoSpaceDN/>
              <w:bidi w:val="0"/>
              <w:adjustRightInd/>
              <w:spacing w:line="580" w:lineRule="exact"/>
              <w:ind w:left="0" w:leftChars="0" w:right="0" w:rightChars="0"/>
              <w:jc w:val="center"/>
              <w:rPr>
                <w:rFonts w:ascii="仿宋_GB2312" w:hAnsi="仿宋_GB2312" w:eastAsia="仿宋_GB2312" w:cs="仿宋_GB2312"/>
                <w:color w:val="auto"/>
                <w:szCs w:val="24"/>
                <w:lang w:val="zh-CN"/>
              </w:rPr>
            </w:pPr>
            <w:r>
              <w:rPr>
                <w:rFonts w:hint="eastAsia" w:ascii="仿宋_GB2312" w:hAnsi="仿宋_GB2312" w:eastAsia="仿宋_GB2312" w:cs="仿宋_GB2312"/>
                <w:color w:val="auto"/>
                <w:szCs w:val="24"/>
                <w:lang w:val="zh-CN"/>
              </w:rPr>
              <w:t>额定相关色温</w:t>
            </w:r>
            <w:r>
              <w:rPr>
                <w:rFonts w:hint="eastAsia" w:ascii="仿宋_GB2312" w:hAnsi="仿宋_GB2312" w:eastAsia="仿宋_GB2312" w:cs="仿宋_GB2312"/>
                <w:color w:val="auto"/>
                <w:szCs w:val="24"/>
                <w:shd w:val="clear" w:color="auto" w:fill="FFFFFF"/>
                <w:lang w:val="zh-CN"/>
              </w:rPr>
              <w:t>(K)</w:t>
            </w:r>
          </w:p>
        </w:tc>
        <w:tc>
          <w:tcPr>
            <w:tcW w:w="5383" w:type="dxa"/>
            <w:gridSpan w:val="2"/>
            <w:tcBorders>
              <w:tl2br w:val="nil"/>
              <w:tr2bl w:val="nil"/>
            </w:tcBorders>
            <w:shd w:val="clear" w:color="auto" w:fill="FFFFFF"/>
            <w:noWrap w:val="0"/>
            <w:vAlign w:val="center"/>
          </w:tcPr>
          <w:p>
            <w:pPr>
              <w:keepNext w:val="0"/>
              <w:keepLines w:val="0"/>
              <w:pageBreakBefore w:val="0"/>
              <w:widowControl w:val="0"/>
              <w:wordWrap/>
              <w:overflowPunct/>
              <w:topLinePunct w:val="0"/>
              <w:autoSpaceDE/>
              <w:autoSpaceDN/>
              <w:bidi w:val="0"/>
              <w:adjustRightInd/>
              <w:spacing w:line="580" w:lineRule="exact"/>
              <w:ind w:left="0" w:leftChars="0" w:right="0" w:rightChars="0"/>
              <w:jc w:val="center"/>
              <w:rPr>
                <w:rFonts w:ascii="仿宋_GB2312" w:hAnsi="仿宋_GB2312" w:eastAsia="仿宋_GB2312" w:cs="仿宋_GB2312"/>
                <w:color w:val="auto"/>
                <w:szCs w:val="24"/>
              </w:rPr>
            </w:pPr>
            <w:r>
              <w:rPr>
                <w:rFonts w:hint="eastAsia" w:ascii="仿宋_GB2312" w:hAnsi="仿宋_GB2312" w:eastAsia="仿宋_GB2312" w:cs="仿宋_GB2312"/>
                <w:color w:val="auto"/>
                <w:szCs w:val="24"/>
              </w:rPr>
              <w:t>色度坐标目标值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5" w:hRule="atLeast"/>
          <w:tblHeader/>
          <w:jc w:val="center"/>
        </w:trPr>
        <w:tc>
          <w:tcPr>
            <w:tcW w:w="2861" w:type="dxa"/>
            <w:vMerge w:val="continue"/>
            <w:tcBorders>
              <w:tl2br w:val="nil"/>
              <w:tr2bl w:val="nil"/>
            </w:tcBorders>
            <w:shd w:val="clear" w:color="auto" w:fill="FFFFFF"/>
            <w:noWrap w:val="0"/>
            <w:vAlign w:val="center"/>
          </w:tcPr>
          <w:p>
            <w:pPr>
              <w:keepNext w:val="0"/>
              <w:keepLines w:val="0"/>
              <w:pageBreakBefore w:val="0"/>
              <w:widowControl w:val="0"/>
              <w:wordWrap/>
              <w:overflowPunct/>
              <w:topLinePunct w:val="0"/>
              <w:autoSpaceDE/>
              <w:autoSpaceDN/>
              <w:bidi w:val="0"/>
              <w:adjustRightInd/>
              <w:spacing w:line="580" w:lineRule="exact"/>
              <w:ind w:left="0" w:leftChars="0" w:right="0" w:rightChars="0"/>
              <w:jc w:val="center"/>
              <w:rPr>
                <w:rFonts w:ascii="仿宋_GB2312" w:hAnsi="仿宋_GB2312" w:eastAsia="仿宋_GB2312" w:cs="仿宋_GB2312"/>
                <w:color w:val="auto"/>
                <w:szCs w:val="24"/>
              </w:rPr>
            </w:pPr>
          </w:p>
        </w:tc>
        <w:tc>
          <w:tcPr>
            <w:tcW w:w="2747" w:type="dxa"/>
            <w:tcBorders>
              <w:tl2br w:val="nil"/>
              <w:tr2bl w:val="nil"/>
            </w:tcBorders>
            <w:shd w:val="clear" w:color="auto" w:fill="FFFFFF"/>
            <w:noWrap w:val="0"/>
            <w:vAlign w:val="center"/>
          </w:tcPr>
          <w:p>
            <w:pPr>
              <w:keepNext w:val="0"/>
              <w:keepLines w:val="0"/>
              <w:pageBreakBefore w:val="0"/>
              <w:widowControl w:val="0"/>
              <w:wordWrap/>
              <w:overflowPunct/>
              <w:topLinePunct w:val="0"/>
              <w:autoSpaceDE/>
              <w:autoSpaceDN/>
              <w:bidi w:val="0"/>
              <w:adjustRightInd/>
              <w:spacing w:line="580" w:lineRule="exact"/>
              <w:ind w:left="0" w:leftChars="0" w:right="0" w:rightChars="0"/>
              <w:jc w:val="center"/>
              <w:rPr>
                <w:rFonts w:ascii="仿宋_GB2312" w:hAnsi="仿宋_GB2312" w:eastAsia="仿宋_GB2312" w:cs="仿宋_GB2312"/>
                <w:color w:val="auto"/>
                <w:szCs w:val="24"/>
                <w:lang w:val="zh-CN"/>
              </w:rPr>
            </w:pPr>
            <w:r>
              <w:rPr>
                <w:rFonts w:hint="eastAsia" w:ascii="仿宋_GB2312" w:hAnsi="仿宋_GB2312" w:eastAsia="仿宋_GB2312" w:cs="仿宋_GB2312"/>
                <w:color w:val="auto"/>
                <w:szCs w:val="24"/>
                <w:lang w:val="zh-CN"/>
              </w:rPr>
              <w:t>x</w:t>
            </w:r>
          </w:p>
        </w:tc>
        <w:tc>
          <w:tcPr>
            <w:tcW w:w="2636" w:type="dxa"/>
            <w:tcBorders>
              <w:tl2br w:val="nil"/>
              <w:tr2bl w:val="nil"/>
            </w:tcBorders>
            <w:shd w:val="clear" w:color="auto" w:fill="FFFFFF"/>
            <w:noWrap w:val="0"/>
            <w:vAlign w:val="center"/>
          </w:tcPr>
          <w:p>
            <w:pPr>
              <w:keepNext w:val="0"/>
              <w:keepLines w:val="0"/>
              <w:pageBreakBefore w:val="0"/>
              <w:widowControl w:val="0"/>
              <w:wordWrap/>
              <w:overflowPunct/>
              <w:topLinePunct w:val="0"/>
              <w:autoSpaceDE/>
              <w:autoSpaceDN/>
              <w:bidi w:val="0"/>
              <w:adjustRightInd/>
              <w:spacing w:line="580" w:lineRule="exact"/>
              <w:ind w:left="0" w:leftChars="0" w:right="0" w:rightChars="0"/>
              <w:jc w:val="center"/>
              <w:rPr>
                <w:rFonts w:ascii="仿宋_GB2312" w:hAnsi="仿宋_GB2312" w:eastAsia="仿宋_GB2312" w:cs="仿宋_GB2312"/>
                <w:color w:val="auto"/>
                <w:szCs w:val="24"/>
                <w:lang w:val="zh-CN"/>
              </w:rPr>
            </w:pPr>
            <w:r>
              <w:rPr>
                <w:rFonts w:hint="eastAsia" w:ascii="仿宋_GB2312" w:hAnsi="仿宋_GB2312" w:eastAsia="仿宋_GB2312" w:cs="仿宋_GB2312"/>
                <w:color w:val="auto"/>
                <w:szCs w:val="24"/>
                <w:lang w:val="zh-CN"/>
              </w:rPr>
              <w: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5" w:hRule="atLeast"/>
          <w:tblHeader/>
          <w:jc w:val="center"/>
        </w:trPr>
        <w:tc>
          <w:tcPr>
            <w:tcW w:w="2861" w:type="dxa"/>
            <w:tcBorders>
              <w:tl2br w:val="nil"/>
              <w:tr2bl w:val="nil"/>
            </w:tcBorders>
            <w:shd w:val="clear" w:color="auto" w:fill="FFFFFF"/>
            <w:noWrap w:val="0"/>
            <w:vAlign w:val="center"/>
          </w:tcPr>
          <w:p>
            <w:pPr>
              <w:keepNext w:val="0"/>
              <w:keepLines w:val="0"/>
              <w:pageBreakBefore w:val="0"/>
              <w:widowControl w:val="0"/>
              <w:wordWrap/>
              <w:overflowPunct/>
              <w:topLinePunct w:val="0"/>
              <w:autoSpaceDE/>
              <w:autoSpaceDN/>
              <w:bidi w:val="0"/>
              <w:adjustRightInd/>
              <w:spacing w:line="580" w:lineRule="exact"/>
              <w:ind w:left="0" w:leftChars="0" w:right="0" w:rightChars="0"/>
              <w:jc w:val="center"/>
              <w:rPr>
                <w:rFonts w:ascii="仿宋_GB2312" w:hAnsi="仿宋_GB2312" w:eastAsia="仿宋_GB2312" w:cs="仿宋_GB2312"/>
                <w:color w:val="auto"/>
                <w:szCs w:val="24"/>
                <w:lang w:val="zh-CN"/>
              </w:rPr>
            </w:pPr>
            <w:r>
              <w:rPr>
                <w:rFonts w:hint="eastAsia" w:ascii="仿宋_GB2312" w:hAnsi="仿宋_GB2312" w:eastAsia="仿宋_GB2312" w:cs="仿宋_GB2312"/>
                <w:color w:val="auto"/>
                <w:szCs w:val="24"/>
                <w:lang w:val="zh-CN"/>
              </w:rPr>
              <w:t>3500</w:t>
            </w:r>
          </w:p>
        </w:tc>
        <w:tc>
          <w:tcPr>
            <w:tcW w:w="2747" w:type="dxa"/>
            <w:tcBorders>
              <w:tl2br w:val="nil"/>
              <w:tr2bl w:val="nil"/>
            </w:tcBorders>
            <w:shd w:val="clear" w:color="auto" w:fill="FFFFFF"/>
            <w:noWrap w:val="0"/>
            <w:vAlign w:val="center"/>
          </w:tcPr>
          <w:p>
            <w:pPr>
              <w:keepNext w:val="0"/>
              <w:keepLines w:val="0"/>
              <w:pageBreakBefore w:val="0"/>
              <w:widowControl w:val="0"/>
              <w:wordWrap/>
              <w:overflowPunct/>
              <w:topLinePunct w:val="0"/>
              <w:autoSpaceDE/>
              <w:autoSpaceDN/>
              <w:bidi w:val="0"/>
              <w:adjustRightInd/>
              <w:spacing w:line="580" w:lineRule="exact"/>
              <w:ind w:left="0" w:leftChars="0" w:right="0" w:rightChars="0"/>
              <w:jc w:val="center"/>
              <w:rPr>
                <w:rFonts w:ascii="仿宋_GB2312" w:hAnsi="仿宋_GB2312" w:eastAsia="仿宋_GB2312" w:cs="仿宋_GB2312"/>
                <w:color w:val="auto"/>
                <w:szCs w:val="24"/>
                <w:lang w:val="zh-CN"/>
              </w:rPr>
            </w:pPr>
            <w:r>
              <w:rPr>
                <w:rFonts w:hint="eastAsia" w:ascii="仿宋_GB2312" w:hAnsi="仿宋_GB2312" w:eastAsia="仿宋_GB2312" w:cs="仿宋_GB2312"/>
                <w:color w:val="auto"/>
                <w:szCs w:val="24"/>
                <w:lang w:val="zh-CN"/>
              </w:rPr>
              <w:t>0.409</w:t>
            </w:r>
          </w:p>
        </w:tc>
        <w:tc>
          <w:tcPr>
            <w:tcW w:w="2636" w:type="dxa"/>
            <w:tcBorders>
              <w:tl2br w:val="nil"/>
              <w:tr2bl w:val="nil"/>
            </w:tcBorders>
            <w:shd w:val="clear" w:color="auto" w:fill="FFFFFF"/>
            <w:noWrap w:val="0"/>
            <w:vAlign w:val="center"/>
          </w:tcPr>
          <w:p>
            <w:pPr>
              <w:keepNext w:val="0"/>
              <w:keepLines w:val="0"/>
              <w:pageBreakBefore w:val="0"/>
              <w:widowControl w:val="0"/>
              <w:wordWrap/>
              <w:overflowPunct/>
              <w:topLinePunct w:val="0"/>
              <w:autoSpaceDE/>
              <w:autoSpaceDN/>
              <w:bidi w:val="0"/>
              <w:adjustRightInd/>
              <w:spacing w:line="580" w:lineRule="exact"/>
              <w:ind w:left="0" w:leftChars="0" w:right="0" w:rightChars="0"/>
              <w:jc w:val="center"/>
              <w:rPr>
                <w:rFonts w:ascii="仿宋_GB2312" w:hAnsi="仿宋_GB2312" w:eastAsia="仿宋_GB2312" w:cs="仿宋_GB2312"/>
                <w:color w:val="auto"/>
                <w:szCs w:val="24"/>
                <w:lang w:val="zh-CN"/>
              </w:rPr>
            </w:pPr>
            <w:r>
              <w:rPr>
                <w:rFonts w:hint="eastAsia" w:ascii="仿宋_GB2312" w:hAnsi="仿宋_GB2312" w:eastAsia="仿宋_GB2312" w:cs="仿宋_GB2312"/>
                <w:color w:val="auto"/>
                <w:szCs w:val="24"/>
                <w:lang w:val="zh-CN"/>
              </w:rPr>
              <w:t>0.394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5" w:hRule="atLeast"/>
          <w:tblHeader/>
          <w:jc w:val="center"/>
        </w:trPr>
        <w:tc>
          <w:tcPr>
            <w:tcW w:w="2861" w:type="dxa"/>
            <w:tcBorders>
              <w:tl2br w:val="nil"/>
              <w:tr2bl w:val="nil"/>
            </w:tcBorders>
            <w:shd w:val="clear" w:color="auto" w:fill="FFFFFF"/>
            <w:noWrap w:val="0"/>
            <w:vAlign w:val="center"/>
          </w:tcPr>
          <w:p>
            <w:pPr>
              <w:keepNext w:val="0"/>
              <w:keepLines w:val="0"/>
              <w:pageBreakBefore w:val="0"/>
              <w:widowControl w:val="0"/>
              <w:wordWrap/>
              <w:overflowPunct/>
              <w:topLinePunct w:val="0"/>
              <w:autoSpaceDE/>
              <w:autoSpaceDN/>
              <w:bidi w:val="0"/>
              <w:adjustRightInd/>
              <w:spacing w:line="580" w:lineRule="exact"/>
              <w:ind w:left="0" w:leftChars="0" w:right="0" w:rightChars="0"/>
              <w:jc w:val="center"/>
              <w:rPr>
                <w:rFonts w:ascii="仿宋_GB2312" w:hAnsi="仿宋_GB2312" w:eastAsia="仿宋_GB2312" w:cs="仿宋_GB2312"/>
                <w:color w:val="auto"/>
                <w:szCs w:val="24"/>
                <w:shd w:val="clear" w:color="auto" w:fill="FFFFFF"/>
                <w:lang w:val="zh-CN"/>
              </w:rPr>
            </w:pPr>
            <w:r>
              <w:rPr>
                <w:rFonts w:hint="eastAsia" w:ascii="仿宋_GB2312" w:hAnsi="仿宋_GB2312" w:eastAsia="仿宋_GB2312" w:cs="仿宋_GB2312"/>
                <w:color w:val="auto"/>
                <w:szCs w:val="24"/>
                <w:shd w:val="clear" w:color="auto" w:fill="FFFFFF"/>
                <w:lang w:val="zh-CN"/>
              </w:rPr>
              <w:t>4000</w:t>
            </w:r>
          </w:p>
        </w:tc>
        <w:tc>
          <w:tcPr>
            <w:tcW w:w="2747" w:type="dxa"/>
            <w:tcBorders>
              <w:tl2br w:val="nil"/>
              <w:tr2bl w:val="nil"/>
            </w:tcBorders>
            <w:shd w:val="clear" w:color="auto" w:fill="FFFFFF"/>
            <w:noWrap w:val="0"/>
            <w:vAlign w:val="center"/>
          </w:tcPr>
          <w:p>
            <w:pPr>
              <w:keepNext w:val="0"/>
              <w:keepLines w:val="0"/>
              <w:pageBreakBefore w:val="0"/>
              <w:widowControl w:val="0"/>
              <w:wordWrap/>
              <w:overflowPunct/>
              <w:topLinePunct w:val="0"/>
              <w:autoSpaceDE/>
              <w:autoSpaceDN/>
              <w:bidi w:val="0"/>
              <w:adjustRightInd/>
              <w:spacing w:line="580" w:lineRule="exact"/>
              <w:ind w:left="0" w:leftChars="0" w:right="0" w:rightChars="0"/>
              <w:jc w:val="center"/>
              <w:rPr>
                <w:rFonts w:ascii="仿宋_GB2312" w:hAnsi="仿宋_GB2312" w:eastAsia="仿宋_GB2312" w:cs="仿宋_GB2312"/>
                <w:color w:val="auto"/>
                <w:szCs w:val="24"/>
                <w:shd w:val="clear" w:color="auto" w:fill="FFFFFF"/>
                <w:lang w:val="zh-CN"/>
              </w:rPr>
            </w:pPr>
            <w:r>
              <w:rPr>
                <w:rFonts w:hint="eastAsia" w:ascii="仿宋_GB2312" w:hAnsi="仿宋_GB2312" w:eastAsia="仿宋_GB2312" w:cs="仿宋_GB2312"/>
                <w:color w:val="auto"/>
                <w:szCs w:val="24"/>
                <w:shd w:val="clear" w:color="auto" w:fill="FFFFFF"/>
                <w:lang w:val="zh-CN"/>
              </w:rPr>
              <w:t>0.380</w:t>
            </w:r>
          </w:p>
        </w:tc>
        <w:tc>
          <w:tcPr>
            <w:tcW w:w="2636" w:type="dxa"/>
            <w:tcBorders>
              <w:tl2br w:val="nil"/>
              <w:tr2bl w:val="nil"/>
            </w:tcBorders>
            <w:shd w:val="clear" w:color="auto" w:fill="FFFFFF"/>
            <w:noWrap w:val="0"/>
            <w:vAlign w:val="center"/>
          </w:tcPr>
          <w:p>
            <w:pPr>
              <w:keepNext w:val="0"/>
              <w:keepLines w:val="0"/>
              <w:pageBreakBefore w:val="0"/>
              <w:widowControl w:val="0"/>
              <w:wordWrap/>
              <w:overflowPunct/>
              <w:topLinePunct w:val="0"/>
              <w:autoSpaceDE/>
              <w:autoSpaceDN/>
              <w:bidi w:val="0"/>
              <w:adjustRightInd/>
              <w:spacing w:line="580" w:lineRule="exact"/>
              <w:ind w:left="0" w:leftChars="0" w:right="0" w:rightChars="0"/>
              <w:jc w:val="center"/>
              <w:rPr>
                <w:rFonts w:ascii="仿宋_GB2312" w:hAnsi="仿宋_GB2312" w:eastAsia="仿宋_GB2312" w:cs="仿宋_GB2312"/>
                <w:color w:val="auto"/>
                <w:szCs w:val="24"/>
                <w:lang w:val="zh-CN"/>
              </w:rPr>
            </w:pPr>
            <w:r>
              <w:rPr>
                <w:rFonts w:hint="eastAsia" w:ascii="仿宋_GB2312" w:hAnsi="仿宋_GB2312" w:eastAsia="仿宋_GB2312" w:cs="仿宋_GB2312"/>
                <w:color w:val="auto"/>
                <w:szCs w:val="24"/>
                <w:lang w:val="zh-CN"/>
              </w:rPr>
              <w:t>0.380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5" w:hRule="atLeast"/>
          <w:tblHeader/>
          <w:jc w:val="center"/>
        </w:trPr>
        <w:tc>
          <w:tcPr>
            <w:tcW w:w="2861" w:type="dxa"/>
            <w:tcBorders>
              <w:tl2br w:val="nil"/>
              <w:tr2bl w:val="nil"/>
            </w:tcBorders>
            <w:shd w:val="clear" w:color="auto" w:fill="FFFFFF"/>
            <w:noWrap w:val="0"/>
            <w:vAlign w:val="center"/>
          </w:tcPr>
          <w:p>
            <w:pPr>
              <w:keepNext w:val="0"/>
              <w:keepLines w:val="0"/>
              <w:pageBreakBefore w:val="0"/>
              <w:widowControl w:val="0"/>
              <w:wordWrap/>
              <w:overflowPunct/>
              <w:topLinePunct w:val="0"/>
              <w:autoSpaceDE/>
              <w:autoSpaceDN/>
              <w:bidi w:val="0"/>
              <w:adjustRightInd/>
              <w:spacing w:line="580" w:lineRule="exact"/>
              <w:ind w:left="0" w:leftChars="0" w:right="0" w:rightChars="0"/>
              <w:jc w:val="center"/>
              <w:rPr>
                <w:rFonts w:ascii="仿宋_GB2312" w:hAnsi="仿宋_GB2312" w:eastAsia="仿宋_GB2312" w:cs="仿宋_GB2312"/>
                <w:color w:val="auto"/>
                <w:szCs w:val="24"/>
                <w:shd w:val="clear" w:color="auto" w:fill="FFFFFF"/>
                <w:lang w:val="zh-CN"/>
              </w:rPr>
            </w:pPr>
            <w:r>
              <w:rPr>
                <w:rFonts w:hint="eastAsia" w:ascii="仿宋_GB2312" w:hAnsi="仿宋_GB2312" w:eastAsia="仿宋_GB2312" w:cs="仿宋_GB2312"/>
                <w:color w:val="auto"/>
                <w:szCs w:val="24"/>
                <w:shd w:val="clear" w:color="auto" w:fill="FFFFFF"/>
                <w:lang w:val="zh-CN"/>
              </w:rPr>
              <w:t>5000</w:t>
            </w:r>
          </w:p>
        </w:tc>
        <w:tc>
          <w:tcPr>
            <w:tcW w:w="2747" w:type="dxa"/>
            <w:tcBorders>
              <w:tl2br w:val="nil"/>
              <w:tr2bl w:val="nil"/>
            </w:tcBorders>
            <w:shd w:val="clear" w:color="auto" w:fill="FFFFFF"/>
            <w:noWrap w:val="0"/>
            <w:vAlign w:val="center"/>
          </w:tcPr>
          <w:p>
            <w:pPr>
              <w:keepNext w:val="0"/>
              <w:keepLines w:val="0"/>
              <w:pageBreakBefore w:val="0"/>
              <w:widowControl w:val="0"/>
              <w:wordWrap/>
              <w:overflowPunct/>
              <w:topLinePunct w:val="0"/>
              <w:autoSpaceDE/>
              <w:autoSpaceDN/>
              <w:bidi w:val="0"/>
              <w:adjustRightInd/>
              <w:spacing w:line="580" w:lineRule="exact"/>
              <w:ind w:left="0" w:leftChars="0" w:right="0" w:rightChars="0"/>
              <w:jc w:val="center"/>
              <w:rPr>
                <w:rFonts w:ascii="仿宋_GB2312" w:hAnsi="仿宋_GB2312" w:eastAsia="仿宋_GB2312" w:cs="仿宋_GB2312"/>
                <w:color w:val="auto"/>
                <w:szCs w:val="24"/>
                <w:shd w:val="clear" w:color="auto" w:fill="FFFFFF"/>
                <w:lang w:val="zh-CN"/>
              </w:rPr>
            </w:pPr>
            <w:r>
              <w:rPr>
                <w:rFonts w:hint="eastAsia" w:ascii="仿宋_GB2312" w:hAnsi="仿宋_GB2312" w:eastAsia="仿宋_GB2312" w:cs="仿宋_GB2312"/>
                <w:color w:val="auto"/>
                <w:szCs w:val="24"/>
                <w:shd w:val="clear" w:color="auto" w:fill="FFFFFF"/>
                <w:lang w:val="zh-CN"/>
              </w:rPr>
              <w:t>0.346</w:t>
            </w:r>
          </w:p>
        </w:tc>
        <w:tc>
          <w:tcPr>
            <w:tcW w:w="2636" w:type="dxa"/>
            <w:tcBorders>
              <w:tl2br w:val="nil"/>
              <w:tr2bl w:val="nil"/>
            </w:tcBorders>
            <w:shd w:val="clear" w:color="auto" w:fill="FFFFFF"/>
            <w:noWrap w:val="0"/>
            <w:vAlign w:val="center"/>
          </w:tcPr>
          <w:p>
            <w:pPr>
              <w:keepNext w:val="0"/>
              <w:keepLines w:val="0"/>
              <w:pageBreakBefore w:val="0"/>
              <w:widowControl w:val="0"/>
              <w:wordWrap/>
              <w:overflowPunct/>
              <w:topLinePunct w:val="0"/>
              <w:autoSpaceDE/>
              <w:autoSpaceDN/>
              <w:bidi w:val="0"/>
              <w:adjustRightInd/>
              <w:spacing w:line="580" w:lineRule="exact"/>
              <w:ind w:left="0" w:leftChars="0" w:right="0" w:rightChars="0"/>
              <w:jc w:val="center"/>
              <w:rPr>
                <w:rFonts w:ascii="仿宋_GB2312" w:hAnsi="仿宋_GB2312" w:eastAsia="仿宋_GB2312" w:cs="仿宋_GB2312"/>
                <w:color w:val="auto"/>
                <w:szCs w:val="24"/>
                <w:lang w:val="zh-CN"/>
              </w:rPr>
            </w:pPr>
            <w:r>
              <w:rPr>
                <w:rFonts w:hint="eastAsia" w:ascii="仿宋_GB2312" w:hAnsi="仿宋_GB2312" w:eastAsia="仿宋_GB2312" w:cs="仿宋_GB2312"/>
                <w:color w:val="auto"/>
                <w:szCs w:val="24"/>
                <w:lang w:val="zh-CN"/>
              </w:rPr>
              <w:t>0.359</w:t>
            </w: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4.教室照明灯具的光生物危害应符合GB 7000.1要求，其中灯具的视网膜蓝光危害</w:t>
      </w:r>
      <w:r>
        <w:rPr>
          <w:rFonts w:hint="eastAsia" w:ascii="仿宋_GB2312" w:hAnsi="仿宋_GB2312" w:cs="仿宋_GB2312"/>
          <w:color w:val="auto"/>
          <w:sz w:val="32"/>
          <w:szCs w:val="32"/>
          <w:lang w:eastAsia="zh-CN"/>
        </w:rPr>
        <w:t>等级</w:t>
      </w:r>
      <w:r>
        <w:rPr>
          <w:rFonts w:hint="eastAsia" w:ascii="仿宋_GB2312" w:hAnsi="仿宋_GB2312" w:eastAsia="仿宋_GB2312" w:cs="仿宋_GB2312"/>
          <w:color w:val="auto"/>
          <w:sz w:val="32"/>
          <w:szCs w:val="32"/>
        </w:rPr>
        <w:t>应按IEC/TR 62778评估为 RG0（无限制）。黑板灯评估为RG</w:t>
      </w:r>
      <w:r>
        <w:rPr>
          <w:rFonts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rPr>
        <w:t>或RG</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color w:val="auto"/>
          <w:szCs w:val="24"/>
        </w:rPr>
      </w:pPr>
      <w:r>
        <w:rPr>
          <w:rFonts w:hint="eastAsia" w:ascii="仿宋_GB2312" w:hAnsi="仿宋_GB2312" w:eastAsia="仿宋_GB2312" w:cs="仿宋_GB2312"/>
          <w:color w:val="auto"/>
          <w:sz w:val="32"/>
          <w:szCs w:val="32"/>
        </w:rPr>
        <w:t>5.灯具在其额定电压下工作时，其光输出波形的波动深度应不大于表2的限值要求。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ascii="仿宋_GB2312" w:hAnsi="仿宋_GB2312" w:eastAsia="仿宋_GB2312" w:cs="仿宋_GB2312"/>
          <w:color w:val="auto"/>
          <w:szCs w:val="24"/>
        </w:rPr>
      </w:pPr>
      <w:r>
        <w:rPr>
          <w:rFonts w:hint="eastAsia" w:ascii="仿宋_GB2312" w:hAnsi="仿宋_GB2312" w:eastAsia="仿宋_GB2312" w:cs="仿宋_GB2312"/>
          <w:color w:val="auto"/>
          <w:szCs w:val="24"/>
        </w:rPr>
        <w:t>表2  波动深度限值要求</w:t>
      </w:r>
    </w:p>
    <w:tbl>
      <w:tblPr>
        <w:tblStyle w:val="5"/>
        <w:tblW w:w="834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23"/>
        <w:gridCol w:w="1134"/>
        <w:gridCol w:w="1842"/>
        <w:gridCol w:w="1985"/>
        <w:gridCol w:w="12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123" w:type="dxa"/>
            <w:tcBorders>
              <w:tl2br w:val="nil"/>
              <w:tr2bl w:val="nil"/>
            </w:tcBorders>
            <w:noWrap w:val="0"/>
            <w:vAlign w:val="center"/>
          </w:tcPr>
          <w:p>
            <w:pPr>
              <w:keepNext w:val="0"/>
              <w:keepLines w:val="0"/>
              <w:pageBreakBefore w:val="0"/>
              <w:widowControl w:val="0"/>
              <w:wordWrap/>
              <w:overflowPunct/>
              <w:topLinePunct w:val="0"/>
              <w:autoSpaceDE/>
              <w:autoSpaceDN/>
              <w:bidi w:val="0"/>
              <w:adjustRightInd/>
              <w:spacing w:line="580" w:lineRule="exact"/>
              <w:ind w:left="0" w:leftChars="0" w:right="0" w:rightChars="0"/>
              <w:jc w:val="center"/>
              <w:rPr>
                <w:rFonts w:ascii="仿宋_GB2312" w:hAnsi="仿宋_GB2312" w:eastAsia="仿宋_GB2312" w:cs="仿宋_GB2312"/>
                <w:color w:val="auto"/>
                <w:szCs w:val="24"/>
              </w:rPr>
            </w:pPr>
            <w:r>
              <w:rPr>
                <w:rFonts w:hint="eastAsia" w:ascii="仿宋_GB2312" w:hAnsi="仿宋_GB2312" w:eastAsia="仿宋_GB2312" w:cs="仿宋_GB2312"/>
                <w:color w:val="auto"/>
                <w:szCs w:val="24"/>
              </w:rPr>
              <w:t>光输出波形频率（f）</w:t>
            </w:r>
          </w:p>
        </w:tc>
        <w:tc>
          <w:tcPr>
            <w:tcW w:w="1134" w:type="dxa"/>
            <w:tcBorders>
              <w:tl2br w:val="nil"/>
              <w:tr2bl w:val="nil"/>
            </w:tcBorders>
            <w:noWrap w:val="0"/>
            <w:vAlign w:val="center"/>
          </w:tcPr>
          <w:p>
            <w:pPr>
              <w:keepNext w:val="0"/>
              <w:keepLines w:val="0"/>
              <w:pageBreakBefore w:val="0"/>
              <w:widowControl w:val="0"/>
              <w:wordWrap/>
              <w:overflowPunct/>
              <w:topLinePunct w:val="0"/>
              <w:autoSpaceDE/>
              <w:autoSpaceDN/>
              <w:bidi w:val="0"/>
              <w:adjustRightInd/>
              <w:spacing w:line="580" w:lineRule="exact"/>
              <w:ind w:left="0" w:leftChars="0" w:right="0" w:rightChars="0"/>
              <w:jc w:val="center"/>
              <w:rPr>
                <w:rFonts w:ascii="仿宋_GB2312" w:hAnsi="仿宋_GB2312" w:eastAsia="仿宋_GB2312" w:cs="仿宋_GB2312"/>
                <w:color w:val="auto"/>
                <w:szCs w:val="24"/>
              </w:rPr>
            </w:pPr>
            <w:r>
              <w:rPr>
                <w:rFonts w:hint="eastAsia" w:ascii="仿宋_GB2312" w:hAnsi="仿宋_GB2312" w:eastAsia="仿宋_GB2312" w:cs="仿宋_GB2312"/>
                <w:color w:val="auto"/>
                <w:szCs w:val="24"/>
              </w:rPr>
              <w:t>f≤10Hz</w:t>
            </w:r>
          </w:p>
        </w:tc>
        <w:tc>
          <w:tcPr>
            <w:tcW w:w="1842" w:type="dxa"/>
            <w:tcBorders>
              <w:tl2br w:val="nil"/>
              <w:tr2bl w:val="nil"/>
            </w:tcBorders>
            <w:noWrap w:val="0"/>
            <w:vAlign w:val="center"/>
          </w:tcPr>
          <w:p>
            <w:pPr>
              <w:keepNext w:val="0"/>
              <w:keepLines w:val="0"/>
              <w:pageBreakBefore w:val="0"/>
              <w:widowControl w:val="0"/>
              <w:wordWrap/>
              <w:overflowPunct/>
              <w:topLinePunct w:val="0"/>
              <w:autoSpaceDE/>
              <w:autoSpaceDN/>
              <w:bidi w:val="0"/>
              <w:adjustRightInd/>
              <w:spacing w:line="580" w:lineRule="exact"/>
              <w:ind w:left="0" w:leftChars="0" w:right="0" w:rightChars="0"/>
              <w:jc w:val="center"/>
              <w:rPr>
                <w:rFonts w:ascii="仿宋_GB2312" w:hAnsi="仿宋_GB2312" w:eastAsia="仿宋_GB2312" w:cs="仿宋_GB2312"/>
                <w:color w:val="auto"/>
                <w:szCs w:val="24"/>
              </w:rPr>
            </w:pPr>
            <w:r>
              <w:rPr>
                <w:rFonts w:hint="eastAsia" w:ascii="仿宋_GB2312" w:hAnsi="仿宋_GB2312" w:eastAsia="仿宋_GB2312" w:cs="仿宋_GB2312"/>
                <w:color w:val="auto"/>
                <w:szCs w:val="24"/>
              </w:rPr>
              <w:t>10Hz＜f</w:t>
            </w:r>
          </w:p>
          <w:p>
            <w:pPr>
              <w:keepNext w:val="0"/>
              <w:keepLines w:val="0"/>
              <w:pageBreakBefore w:val="0"/>
              <w:widowControl w:val="0"/>
              <w:wordWrap/>
              <w:overflowPunct/>
              <w:topLinePunct w:val="0"/>
              <w:autoSpaceDE/>
              <w:autoSpaceDN/>
              <w:bidi w:val="0"/>
              <w:adjustRightInd/>
              <w:spacing w:line="580" w:lineRule="exact"/>
              <w:ind w:left="0" w:leftChars="0" w:right="0" w:rightChars="0"/>
              <w:jc w:val="center"/>
              <w:rPr>
                <w:rFonts w:ascii="仿宋_GB2312" w:hAnsi="仿宋_GB2312" w:eastAsia="仿宋_GB2312" w:cs="仿宋_GB2312"/>
                <w:color w:val="auto"/>
                <w:szCs w:val="24"/>
              </w:rPr>
            </w:pPr>
            <w:r>
              <w:rPr>
                <w:rFonts w:hint="eastAsia" w:ascii="仿宋_GB2312" w:hAnsi="仿宋_GB2312" w:eastAsia="仿宋_GB2312" w:cs="仿宋_GB2312"/>
                <w:color w:val="auto"/>
                <w:szCs w:val="24"/>
              </w:rPr>
              <w:t>≤90Hz</w:t>
            </w:r>
          </w:p>
        </w:tc>
        <w:tc>
          <w:tcPr>
            <w:tcW w:w="1985" w:type="dxa"/>
            <w:tcBorders>
              <w:tl2br w:val="nil"/>
              <w:tr2bl w:val="nil"/>
            </w:tcBorders>
            <w:noWrap w:val="0"/>
            <w:vAlign w:val="center"/>
          </w:tcPr>
          <w:p>
            <w:pPr>
              <w:keepNext w:val="0"/>
              <w:keepLines w:val="0"/>
              <w:pageBreakBefore w:val="0"/>
              <w:widowControl w:val="0"/>
              <w:wordWrap/>
              <w:overflowPunct/>
              <w:topLinePunct w:val="0"/>
              <w:autoSpaceDE/>
              <w:autoSpaceDN/>
              <w:bidi w:val="0"/>
              <w:adjustRightInd/>
              <w:spacing w:line="580" w:lineRule="exact"/>
              <w:ind w:left="0" w:leftChars="0" w:right="0" w:rightChars="0"/>
              <w:jc w:val="center"/>
              <w:rPr>
                <w:rFonts w:ascii="仿宋_GB2312" w:hAnsi="仿宋_GB2312" w:eastAsia="仿宋_GB2312" w:cs="仿宋_GB2312"/>
                <w:color w:val="auto"/>
                <w:szCs w:val="24"/>
              </w:rPr>
            </w:pPr>
            <w:r>
              <w:rPr>
                <w:rFonts w:hint="eastAsia" w:ascii="仿宋_GB2312" w:hAnsi="仿宋_GB2312" w:eastAsia="仿宋_GB2312" w:cs="仿宋_GB2312"/>
                <w:color w:val="auto"/>
                <w:szCs w:val="24"/>
              </w:rPr>
              <w:t>90Hz＜f</w:t>
            </w:r>
          </w:p>
          <w:p>
            <w:pPr>
              <w:keepNext w:val="0"/>
              <w:keepLines w:val="0"/>
              <w:pageBreakBefore w:val="0"/>
              <w:widowControl w:val="0"/>
              <w:wordWrap/>
              <w:overflowPunct/>
              <w:topLinePunct w:val="0"/>
              <w:autoSpaceDE/>
              <w:autoSpaceDN/>
              <w:bidi w:val="0"/>
              <w:adjustRightInd/>
              <w:spacing w:line="580" w:lineRule="exact"/>
              <w:ind w:left="0" w:leftChars="0" w:right="0" w:rightChars="0"/>
              <w:jc w:val="center"/>
              <w:rPr>
                <w:rFonts w:ascii="仿宋_GB2312" w:hAnsi="仿宋_GB2312" w:eastAsia="仿宋_GB2312" w:cs="仿宋_GB2312"/>
                <w:color w:val="auto"/>
                <w:szCs w:val="24"/>
              </w:rPr>
            </w:pPr>
            <w:r>
              <w:rPr>
                <w:rFonts w:hint="eastAsia" w:ascii="仿宋_GB2312" w:hAnsi="仿宋_GB2312" w:eastAsia="仿宋_GB2312" w:cs="仿宋_GB2312"/>
                <w:color w:val="auto"/>
                <w:szCs w:val="24"/>
              </w:rPr>
              <w:t>≤3125Hz</w:t>
            </w:r>
          </w:p>
        </w:tc>
        <w:tc>
          <w:tcPr>
            <w:tcW w:w="1263" w:type="dxa"/>
            <w:tcBorders>
              <w:tl2br w:val="nil"/>
              <w:tr2bl w:val="nil"/>
            </w:tcBorders>
            <w:noWrap w:val="0"/>
            <w:vAlign w:val="center"/>
          </w:tcPr>
          <w:p>
            <w:pPr>
              <w:keepNext w:val="0"/>
              <w:keepLines w:val="0"/>
              <w:pageBreakBefore w:val="0"/>
              <w:widowControl w:val="0"/>
              <w:wordWrap/>
              <w:overflowPunct/>
              <w:topLinePunct w:val="0"/>
              <w:autoSpaceDE/>
              <w:autoSpaceDN/>
              <w:bidi w:val="0"/>
              <w:adjustRightInd/>
              <w:spacing w:line="580" w:lineRule="exact"/>
              <w:ind w:left="0" w:leftChars="0" w:right="0" w:rightChars="0"/>
              <w:jc w:val="center"/>
              <w:rPr>
                <w:rFonts w:ascii="仿宋_GB2312" w:hAnsi="仿宋_GB2312" w:eastAsia="仿宋_GB2312" w:cs="仿宋_GB2312"/>
                <w:color w:val="auto"/>
                <w:szCs w:val="24"/>
              </w:rPr>
            </w:pPr>
            <w:r>
              <w:rPr>
                <w:rFonts w:hint="eastAsia" w:ascii="仿宋_GB2312" w:hAnsi="仿宋_GB2312" w:eastAsia="仿宋_GB2312" w:cs="仿宋_GB2312"/>
                <w:color w:val="auto"/>
                <w:szCs w:val="24"/>
              </w:rPr>
              <w:t>f＞3125Hz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2123" w:type="dxa"/>
            <w:tcBorders>
              <w:tl2br w:val="nil"/>
              <w:tr2bl w:val="nil"/>
            </w:tcBorders>
            <w:noWrap w:val="0"/>
            <w:vAlign w:val="center"/>
          </w:tcPr>
          <w:p>
            <w:pPr>
              <w:keepNext w:val="0"/>
              <w:keepLines w:val="0"/>
              <w:pageBreakBefore w:val="0"/>
              <w:widowControl w:val="0"/>
              <w:wordWrap/>
              <w:overflowPunct/>
              <w:topLinePunct w:val="0"/>
              <w:autoSpaceDE/>
              <w:autoSpaceDN/>
              <w:bidi w:val="0"/>
              <w:adjustRightInd/>
              <w:spacing w:line="580" w:lineRule="exact"/>
              <w:ind w:left="0" w:leftChars="0" w:right="0" w:rightChars="0"/>
              <w:jc w:val="center"/>
              <w:rPr>
                <w:rFonts w:ascii="仿宋_GB2312" w:hAnsi="仿宋_GB2312" w:eastAsia="仿宋_GB2312" w:cs="仿宋_GB2312"/>
                <w:color w:val="auto"/>
                <w:szCs w:val="24"/>
              </w:rPr>
            </w:pPr>
            <w:r>
              <w:rPr>
                <w:rFonts w:hint="eastAsia" w:ascii="仿宋_GB2312" w:hAnsi="仿宋_GB2312" w:eastAsia="仿宋_GB2312" w:cs="仿宋_GB2312"/>
                <w:color w:val="auto"/>
                <w:szCs w:val="24"/>
              </w:rPr>
              <w:t>波动深度限值（%）</w:t>
            </w:r>
          </w:p>
        </w:tc>
        <w:tc>
          <w:tcPr>
            <w:tcW w:w="1134" w:type="dxa"/>
            <w:tcBorders>
              <w:tl2br w:val="nil"/>
              <w:tr2bl w:val="nil"/>
            </w:tcBorders>
            <w:noWrap w:val="0"/>
            <w:vAlign w:val="center"/>
          </w:tcPr>
          <w:p>
            <w:pPr>
              <w:keepNext w:val="0"/>
              <w:keepLines w:val="0"/>
              <w:pageBreakBefore w:val="0"/>
              <w:widowControl w:val="0"/>
              <w:wordWrap/>
              <w:overflowPunct/>
              <w:topLinePunct w:val="0"/>
              <w:autoSpaceDE/>
              <w:autoSpaceDN/>
              <w:bidi w:val="0"/>
              <w:adjustRightInd/>
              <w:spacing w:line="580" w:lineRule="exact"/>
              <w:ind w:left="0" w:leftChars="0" w:right="0" w:rightChars="0"/>
              <w:jc w:val="center"/>
              <w:rPr>
                <w:rFonts w:ascii="仿宋_GB2312" w:hAnsi="仿宋_GB2312" w:eastAsia="仿宋_GB2312" w:cs="仿宋_GB2312"/>
                <w:color w:val="auto"/>
                <w:szCs w:val="24"/>
              </w:rPr>
            </w:pPr>
            <w:r>
              <w:rPr>
                <w:rFonts w:hint="eastAsia" w:ascii="仿宋_GB2312" w:hAnsi="仿宋_GB2312" w:eastAsia="仿宋_GB2312" w:cs="仿宋_GB2312"/>
                <w:color w:val="auto"/>
                <w:szCs w:val="24"/>
              </w:rPr>
              <w:t>0.1</w:t>
            </w:r>
          </w:p>
        </w:tc>
        <w:tc>
          <w:tcPr>
            <w:tcW w:w="1842" w:type="dxa"/>
            <w:tcBorders>
              <w:tl2br w:val="nil"/>
              <w:tr2bl w:val="nil"/>
            </w:tcBorders>
            <w:noWrap w:val="0"/>
            <w:vAlign w:val="center"/>
          </w:tcPr>
          <w:p>
            <w:pPr>
              <w:keepNext w:val="0"/>
              <w:keepLines w:val="0"/>
              <w:pageBreakBefore w:val="0"/>
              <w:widowControl w:val="0"/>
              <w:wordWrap/>
              <w:overflowPunct/>
              <w:topLinePunct w:val="0"/>
              <w:autoSpaceDE/>
              <w:autoSpaceDN/>
              <w:bidi w:val="0"/>
              <w:adjustRightInd/>
              <w:spacing w:line="580" w:lineRule="exact"/>
              <w:ind w:left="0" w:leftChars="0" w:right="0" w:rightChars="0"/>
              <w:jc w:val="center"/>
              <w:rPr>
                <w:rFonts w:ascii="仿宋_GB2312" w:hAnsi="仿宋_GB2312" w:eastAsia="仿宋_GB2312" w:cs="仿宋_GB2312"/>
                <w:color w:val="auto"/>
                <w:szCs w:val="24"/>
              </w:rPr>
            </w:pPr>
            <w:r>
              <w:rPr>
                <w:rFonts w:hint="eastAsia" w:ascii="仿宋_GB2312" w:hAnsi="仿宋_GB2312" w:eastAsia="仿宋_GB2312" w:cs="仿宋_GB2312"/>
                <w:color w:val="auto"/>
                <w:szCs w:val="24"/>
              </w:rPr>
              <w:t>f×0.01</w:t>
            </w:r>
          </w:p>
        </w:tc>
        <w:tc>
          <w:tcPr>
            <w:tcW w:w="1985" w:type="dxa"/>
            <w:tcBorders>
              <w:tl2br w:val="nil"/>
              <w:tr2bl w:val="nil"/>
            </w:tcBorders>
            <w:noWrap w:val="0"/>
            <w:vAlign w:val="center"/>
          </w:tcPr>
          <w:p>
            <w:pPr>
              <w:keepNext w:val="0"/>
              <w:keepLines w:val="0"/>
              <w:pageBreakBefore w:val="0"/>
              <w:widowControl w:val="0"/>
              <w:wordWrap/>
              <w:overflowPunct/>
              <w:topLinePunct w:val="0"/>
              <w:autoSpaceDE/>
              <w:autoSpaceDN/>
              <w:bidi w:val="0"/>
              <w:adjustRightInd/>
              <w:spacing w:line="580" w:lineRule="exact"/>
              <w:ind w:left="0" w:leftChars="0" w:right="0" w:rightChars="0"/>
              <w:jc w:val="center"/>
              <w:rPr>
                <w:rFonts w:ascii="仿宋_GB2312" w:hAnsi="仿宋_GB2312" w:eastAsia="仿宋_GB2312" w:cs="仿宋_GB2312"/>
                <w:color w:val="auto"/>
                <w:szCs w:val="24"/>
              </w:rPr>
            </w:pPr>
            <w:r>
              <w:rPr>
                <w:rFonts w:hint="eastAsia" w:ascii="仿宋_GB2312" w:hAnsi="仿宋_GB2312" w:eastAsia="仿宋_GB2312" w:cs="仿宋_GB2312"/>
                <w:color w:val="auto"/>
                <w:szCs w:val="24"/>
              </w:rPr>
              <w:t>f×0.032</w:t>
            </w:r>
          </w:p>
        </w:tc>
        <w:tc>
          <w:tcPr>
            <w:tcW w:w="1263" w:type="dxa"/>
            <w:tcBorders>
              <w:tl2br w:val="nil"/>
              <w:tr2bl w:val="nil"/>
            </w:tcBorders>
            <w:noWrap w:val="0"/>
            <w:vAlign w:val="center"/>
          </w:tcPr>
          <w:p>
            <w:pPr>
              <w:keepNext w:val="0"/>
              <w:keepLines w:val="0"/>
              <w:pageBreakBefore w:val="0"/>
              <w:widowControl w:val="0"/>
              <w:wordWrap/>
              <w:overflowPunct/>
              <w:topLinePunct w:val="0"/>
              <w:autoSpaceDE/>
              <w:autoSpaceDN/>
              <w:bidi w:val="0"/>
              <w:adjustRightInd/>
              <w:spacing w:line="580" w:lineRule="exact"/>
              <w:ind w:left="0" w:leftChars="0" w:right="0" w:rightChars="0"/>
              <w:jc w:val="center"/>
              <w:rPr>
                <w:rFonts w:ascii="仿宋_GB2312" w:hAnsi="仿宋_GB2312" w:eastAsia="仿宋_GB2312" w:cs="仿宋_GB2312"/>
                <w:color w:val="auto"/>
                <w:szCs w:val="24"/>
              </w:rPr>
            </w:pPr>
            <w:r>
              <w:rPr>
                <w:rFonts w:hint="eastAsia" w:ascii="仿宋_GB2312" w:hAnsi="仿宋_GB2312" w:eastAsia="仿宋_GB2312" w:cs="仿宋_GB2312"/>
                <w:color w:val="auto"/>
                <w:szCs w:val="24"/>
              </w:rPr>
              <w:t>免除考核</w:t>
            </w:r>
          </w:p>
        </w:tc>
      </w:tr>
    </w:tbl>
    <w:p>
      <w:pPr>
        <w:keepNext w:val="0"/>
        <w:keepLines w:val="0"/>
        <w:pageBreakBefore w:val="0"/>
        <w:widowControl w:val="0"/>
        <w:wordWrap/>
        <w:overflowPunct/>
        <w:topLinePunct w:val="0"/>
        <w:autoSpaceDE/>
        <w:autoSpaceDN/>
        <w:bidi w:val="0"/>
        <w:adjustRightInd/>
        <w:snapToGrid w:val="0"/>
        <w:spacing w:line="500" w:lineRule="exact"/>
        <w:ind w:left="0" w:leftChars="0" w:right="0" w:rightChars="0"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光闪烁按IEC TR 61547-1的规定测得的P</w:t>
      </w:r>
      <w:r>
        <w:rPr>
          <w:rFonts w:hint="eastAsia" w:ascii="仿宋_GB2312" w:hAnsi="仿宋_GB2312" w:eastAsia="仿宋_GB2312" w:cs="仿宋_GB2312"/>
          <w:color w:val="auto"/>
          <w:sz w:val="32"/>
          <w:szCs w:val="32"/>
          <w:vertAlign w:val="subscript"/>
        </w:rPr>
        <w:t>st</w:t>
      </w:r>
      <w:r>
        <w:rPr>
          <w:rFonts w:hint="eastAsia" w:ascii="仿宋_GB2312" w:hAnsi="仿宋_GB2312" w:cs="仿宋_GB2312"/>
          <w:color w:val="auto"/>
          <w:sz w:val="32"/>
          <w:szCs w:val="32"/>
          <w:vertAlign w:val="superscript"/>
          <w:lang w:val="en-US" w:eastAsia="zh-CN"/>
        </w:rPr>
        <w:t>LM</w:t>
      </w:r>
      <w:r>
        <w:rPr>
          <w:rFonts w:hint="eastAsia" w:ascii="仿宋_GB2312" w:hAnsi="仿宋_GB2312" w:eastAsia="仿宋_GB2312" w:cs="仿宋_GB2312"/>
          <w:color w:val="auto"/>
          <w:sz w:val="32"/>
          <w:szCs w:val="32"/>
        </w:rPr>
        <w:t>不应大于1，也不应超过制造商声称的P</w:t>
      </w:r>
      <w:r>
        <w:rPr>
          <w:rFonts w:hint="eastAsia" w:ascii="仿宋_GB2312" w:hAnsi="仿宋_GB2312" w:eastAsia="仿宋_GB2312" w:cs="仿宋_GB2312"/>
          <w:color w:val="auto"/>
          <w:sz w:val="32"/>
          <w:szCs w:val="32"/>
          <w:vertAlign w:val="subscript"/>
        </w:rPr>
        <w:t>st</w:t>
      </w:r>
      <w:r>
        <w:rPr>
          <w:rFonts w:hint="eastAsia" w:ascii="仿宋_GB2312" w:hAnsi="仿宋_GB2312" w:cs="仿宋_GB2312"/>
          <w:color w:val="auto"/>
          <w:sz w:val="32"/>
          <w:szCs w:val="32"/>
          <w:vertAlign w:val="superscript"/>
          <w:lang w:val="en-US" w:eastAsia="zh-CN"/>
        </w:rPr>
        <w:t>LM</w:t>
      </w:r>
      <w:r>
        <w:rPr>
          <w:rFonts w:hint="eastAsia" w:ascii="仿宋_GB2312" w:hAnsi="仿宋_GB2312" w:eastAsia="仿宋_GB2312" w:cs="仿宋_GB2312"/>
          <w:color w:val="auto"/>
          <w:sz w:val="32"/>
          <w:szCs w:val="32"/>
        </w:rPr>
        <w:t>值。</w:t>
      </w:r>
    </w:p>
    <w:p>
      <w:pPr>
        <w:keepNext w:val="0"/>
        <w:keepLines w:val="0"/>
        <w:pageBreakBefore w:val="0"/>
        <w:widowControl w:val="0"/>
        <w:wordWrap/>
        <w:overflowPunct/>
        <w:topLinePunct w:val="0"/>
        <w:autoSpaceDE/>
        <w:autoSpaceDN/>
        <w:bidi w:val="0"/>
        <w:adjustRightInd/>
        <w:snapToGrid w:val="0"/>
        <w:spacing w:line="500" w:lineRule="exact"/>
        <w:ind w:left="0" w:leftChars="0" w:right="0" w:rightChars="0" w:firstLine="640" w:firstLineChars="200"/>
        <w:jc w:val="both"/>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6.教室灯在满足教室照明质量指标和照明节能要求的前提下，宜采用向上半球发射光通量占总光通量10%以上的灯具。</w:t>
      </w:r>
    </w:p>
    <w:p>
      <w:pPr>
        <w:keepNext w:val="0"/>
        <w:keepLines w:val="0"/>
        <w:pageBreakBefore w:val="0"/>
        <w:widowControl w:val="0"/>
        <w:wordWrap/>
        <w:overflowPunct/>
        <w:topLinePunct w:val="0"/>
        <w:autoSpaceDE/>
        <w:autoSpaceDN/>
        <w:bidi w:val="0"/>
        <w:adjustRightInd/>
        <w:snapToGrid w:val="0"/>
        <w:spacing w:line="500" w:lineRule="exact"/>
        <w:ind w:left="0" w:leftChars="0" w:right="0" w:rightChars="0"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7.灯具的额定寿命不低于30000小时，正常燃点3000小时后，光通维持率应不低于96%，正常燃点6000小时后，光通维持率应不低于93%。</w:t>
      </w:r>
    </w:p>
    <w:p>
      <w:pPr>
        <w:keepNext w:val="0"/>
        <w:keepLines w:val="0"/>
        <w:pageBreakBefore w:val="0"/>
        <w:widowControl w:val="0"/>
        <w:wordWrap/>
        <w:overflowPunct/>
        <w:topLinePunct w:val="0"/>
        <w:autoSpaceDE/>
        <w:autoSpaceDN/>
        <w:bidi w:val="0"/>
        <w:adjustRightInd/>
        <w:snapToGrid w:val="0"/>
        <w:spacing w:line="500" w:lineRule="exact"/>
        <w:ind w:left="0" w:leftChars="0" w:right="0" w:rightChars="0" w:firstLine="640" w:firstLineChars="200"/>
        <w:jc w:val="both"/>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8.墙面开关与照明装置接线盒相连接的单根电线应不低于2.5mm</w:t>
      </w:r>
      <w:r>
        <w:rPr>
          <w:rFonts w:hint="eastAsia"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rPr>
        <w:t>，照明装置接线盒与灯具相连接的单根电线应不低于1.5mm</w:t>
      </w:r>
      <w:r>
        <w:rPr>
          <w:rFonts w:hint="eastAsia"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rPr>
        <w:t>。</w:t>
      </w:r>
    </w:p>
    <w:p>
      <w:pPr>
        <w:keepNext w:val="0"/>
        <w:keepLines w:val="0"/>
        <w:pageBreakBefore w:val="0"/>
        <w:widowControl w:val="0"/>
        <w:wordWrap/>
        <w:overflowPunct/>
        <w:topLinePunct w:val="0"/>
        <w:autoSpaceDE/>
        <w:autoSpaceDN/>
        <w:bidi w:val="0"/>
        <w:adjustRightInd/>
        <w:snapToGrid w:val="0"/>
        <w:spacing w:line="500" w:lineRule="exact"/>
        <w:ind w:left="0" w:leftChars="0" w:right="0" w:rightChars="0"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9.灯具产品应便于后期维护，应实现安全、快速更换。</w:t>
      </w:r>
    </w:p>
    <w:p>
      <w:pPr>
        <w:keepNext w:val="0"/>
        <w:keepLines w:val="0"/>
        <w:pageBreakBefore w:val="0"/>
        <w:widowControl w:val="0"/>
        <w:wordWrap/>
        <w:overflowPunct/>
        <w:topLinePunct w:val="0"/>
        <w:autoSpaceDE/>
        <w:autoSpaceDN/>
        <w:bidi w:val="0"/>
        <w:adjustRightInd/>
        <w:snapToGrid w:val="0"/>
        <w:spacing w:line="500" w:lineRule="exact"/>
        <w:ind w:left="0" w:leftChars="0" w:right="0" w:rightChars="0" w:firstLine="640" w:firstLineChars="200"/>
        <w:outlineLvl w:val="0"/>
        <w:rPr>
          <w:rFonts w:ascii="黑体" w:hAnsi="黑体" w:eastAsia="黑体" w:cs="黑体"/>
          <w:color w:val="auto"/>
          <w:sz w:val="32"/>
          <w:szCs w:val="32"/>
        </w:rPr>
      </w:pPr>
      <w:r>
        <w:rPr>
          <w:rFonts w:hint="eastAsia" w:ascii="黑体" w:hAnsi="黑体" w:eastAsia="黑体" w:cs="黑体"/>
          <w:color w:val="auto"/>
          <w:sz w:val="32"/>
          <w:szCs w:val="32"/>
        </w:rPr>
        <w:t>七、安装施工要求</w:t>
      </w:r>
    </w:p>
    <w:p>
      <w:pPr>
        <w:keepNext w:val="0"/>
        <w:keepLines w:val="0"/>
        <w:pageBreakBefore w:val="0"/>
        <w:widowControl w:val="0"/>
        <w:wordWrap/>
        <w:overflowPunct/>
        <w:topLinePunct w:val="0"/>
        <w:autoSpaceDE/>
        <w:autoSpaceDN/>
        <w:bidi w:val="0"/>
        <w:adjustRightInd/>
        <w:snapToGrid w:val="0"/>
        <w:spacing w:line="500" w:lineRule="exact"/>
        <w:ind w:left="0" w:leftChars="0" w:right="0" w:rightChars="0"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教室照明应有分路控制措施，有多媒体显示终端的第一横排教室灯宜有单独回路开关控制，余下每一纵列或横排教室灯实现单独回路开关控制，每个黑板灯有单独回路开关控制。</w:t>
      </w:r>
    </w:p>
    <w:p>
      <w:pPr>
        <w:keepNext w:val="0"/>
        <w:keepLines w:val="0"/>
        <w:pageBreakBefore w:val="0"/>
        <w:widowControl w:val="0"/>
        <w:wordWrap/>
        <w:overflowPunct/>
        <w:topLinePunct w:val="0"/>
        <w:autoSpaceDE/>
        <w:autoSpaceDN/>
        <w:bidi w:val="0"/>
        <w:adjustRightInd/>
        <w:snapToGrid w:val="0"/>
        <w:spacing w:line="500" w:lineRule="exact"/>
        <w:ind w:left="0" w:leftChars="0" w:right="0" w:rightChars="0"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应通过调整灯具控照角度避免黑板灯对教师产生直接眩光，且不应在多媒体教学显示终端上产生高亮度的光源影像，以免对学生产生反射眩光。</w:t>
      </w:r>
    </w:p>
    <w:p>
      <w:pPr>
        <w:keepNext w:val="0"/>
        <w:keepLines w:val="0"/>
        <w:pageBreakBefore w:val="0"/>
        <w:widowControl w:val="0"/>
        <w:wordWrap/>
        <w:overflowPunct/>
        <w:topLinePunct w:val="0"/>
        <w:autoSpaceDE/>
        <w:autoSpaceDN/>
        <w:bidi w:val="0"/>
        <w:adjustRightInd/>
        <w:snapToGrid w:val="0"/>
        <w:spacing w:line="500" w:lineRule="exact"/>
        <w:ind w:left="0" w:leftChars="0" w:right="0" w:rightChars="0"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教室灯具出光面应低于吊扇，且应使用刚性安装，灯具距课桌面的最低悬挂高度为1.7m。</w:t>
      </w:r>
    </w:p>
    <w:p>
      <w:pPr>
        <w:keepNext w:val="0"/>
        <w:keepLines w:val="0"/>
        <w:pageBreakBefore w:val="0"/>
        <w:widowControl w:val="0"/>
        <w:wordWrap/>
        <w:overflowPunct/>
        <w:topLinePunct w:val="0"/>
        <w:autoSpaceDE/>
        <w:autoSpaceDN/>
        <w:bidi w:val="0"/>
        <w:adjustRightInd/>
        <w:snapToGrid w:val="0"/>
        <w:spacing w:line="500" w:lineRule="exact"/>
        <w:ind w:left="0" w:leftChars="0" w:right="0" w:rightChars="0"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机械物理开关中的控制线必须是火线，禁止使用控制零线通断回路的方式；且I类照明装置必须连接地线。</w:t>
      </w:r>
    </w:p>
    <w:p>
      <w:pPr>
        <w:keepNext w:val="0"/>
        <w:keepLines w:val="0"/>
        <w:pageBreakBefore w:val="0"/>
        <w:widowControl w:val="0"/>
        <w:wordWrap/>
        <w:overflowPunct/>
        <w:topLinePunct w:val="0"/>
        <w:autoSpaceDE/>
        <w:autoSpaceDN/>
        <w:bidi w:val="0"/>
        <w:adjustRightInd/>
        <w:snapToGrid w:val="0"/>
        <w:spacing w:line="500" w:lineRule="exact"/>
        <w:ind w:left="0" w:leftChars="0" w:right="0" w:rightChars="0"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rPr>
        <w:t>对施工中造成的教室损坏应修复。</w:t>
      </w:r>
    </w:p>
    <w:p>
      <w:pPr>
        <w:keepNext w:val="0"/>
        <w:keepLines w:val="0"/>
        <w:pageBreakBefore w:val="0"/>
        <w:widowControl w:val="0"/>
        <w:wordWrap/>
        <w:overflowPunct/>
        <w:topLinePunct w:val="0"/>
        <w:autoSpaceDE/>
        <w:autoSpaceDN/>
        <w:bidi w:val="0"/>
        <w:adjustRightInd/>
        <w:snapToGrid w:val="0"/>
        <w:spacing w:line="500" w:lineRule="exact"/>
        <w:ind w:left="0" w:leftChars="0" w:right="0" w:rightChars="0"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rPr>
        <w:t>其他安装要求宜参照T/JYBZ 00</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rPr>
        <w:t>附录B执行，改造工程配套的线路、管道、设备安装等应满足国家及我省相关规范规定要求。</w:t>
      </w:r>
    </w:p>
    <w:p>
      <w:pPr>
        <w:keepNext w:val="0"/>
        <w:keepLines w:val="0"/>
        <w:pageBreakBefore w:val="0"/>
        <w:widowControl w:val="0"/>
        <w:wordWrap/>
        <w:overflowPunct/>
        <w:topLinePunct w:val="0"/>
        <w:autoSpaceDE/>
        <w:autoSpaceDN/>
        <w:bidi w:val="0"/>
        <w:adjustRightInd/>
        <w:snapToGrid w:val="0"/>
        <w:spacing w:line="500" w:lineRule="exact"/>
        <w:ind w:left="0" w:leftChars="0" w:right="0" w:rightChars="0"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7.</w:t>
      </w:r>
      <w:r>
        <w:rPr>
          <w:rFonts w:hint="eastAsia" w:ascii="仿宋_GB2312" w:hAnsi="仿宋_GB2312" w:eastAsia="仿宋_GB2312" w:cs="仿宋_GB2312"/>
          <w:color w:val="auto"/>
          <w:sz w:val="32"/>
          <w:szCs w:val="32"/>
        </w:rPr>
        <w:t>安装完成之后，供应商应对所有完成的教室进行自查，自查应按本指引至少检测教室照度及照度均匀度、黑板照度及照度均匀度并记录检测结果，如不满足规范要求的应及时调整。</w:t>
      </w:r>
    </w:p>
    <w:p>
      <w:pPr>
        <w:keepNext w:val="0"/>
        <w:keepLines w:val="0"/>
        <w:pageBreakBefore w:val="0"/>
        <w:widowControl w:val="0"/>
        <w:wordWrap/>
        <w:overflowPunct/>
        <w:topLinePunct w:val="0"/>
        <w:autoSpaceDE/>
        <w:autoSpaceDN/>
        <w:bidi w:val="0"/>
        <w:adjustRightInd/>
        <w:snapToGrid w:val="0"/>
        <w:spacing w:line="500" w:lineRule="exact"/>
        <w:ind w:left="0" w:leftChars="0" w:right="0" w:rightChars="0" w:firstLine="640" w:firstLineChars="200"/>
        <w:outlineLvl w:val="0"/>
        <w:rPr>
          <w:rFonts w:ascii="黑体" w:hAnsi="黑体" w:eastAsia="黑体" w:cs="黑体"/>
          <w:color w:val="auto"/>
          <w:sz w:val="32"/>
          <w:szCs w:val="32"/>
        </w:rPr>
      </w:pPr>
      <w:r>
        <w:rPr>
          <w:rFonts w:hint="eastAsia" w:ascii="黑体" w:hAnsi="黑体" w:eastAsia="黑体" w:cs="黑体"/>
          <w:color w:val="auto"/>
          <w:sz w:val="32"/>
          <w:szCs w:val="32"/>
        </w:rPr>
        <w:t>八、验收要求</w:t>
      </w:r>
    </w:p>
    <w:p>
      <w:pPr>
        <w:keepNext w:val="0"/>
        <w:keepLines w:val="0"/>
        <w:pageBreakBefore w:val="0"/>
        <w:widowControl w:val="0"/>
        <w:wordWrap/>
        <w:overflowPunct/>
        <w:topLinePunct w:val="0"/>
        <w:autoSpaceDE/>
        <w:autoSpaceDN/>
        <w:bidi w:val="0"/>
        <w:adjustRightInd/>
        <w:snapToGrid w:val="0"/>
        <w:spacing w:line="500" w:lineRule="exact"/>
        <w:ind w:left="0" w:leftChars="0" w:right="0" w:rightChars="0"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1．核验灯具的</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CCC</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产品认证证书及性能检测报告。</w:t>
      </w:r>
    </w:p>
    <w:p>
      <w:pPr>
        <w:keepNext w:val="0"/>
        <w:keepLines w:val="0"/>
        <w:pageBreakBefore w:val="0"/>
        <w:widowControl w:val="0"/>
        <w:wordWrap/>
        <w:overflowPunct/>
        <w:topLinePunct w:val="0"/>
        <w:autoSpaceDE/>
        <w:autoSpaceDN/>
        <w:bidi w:val="0"/>
        <w:adjustRightInd/>
        <w:snapToGrid w:val="0"/>
        <w:spacing w:line="500" w:lineRule="exact"/>
        <w:ind w:left="0" w:leftChars="0" w:right="0" w:rightChars="0"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委托有CMA资质的省级及以上第三方检测机构对实施灯光改造的教室进行抽样现场检测，出具CMA检测报告。检测项目应至少包含教室桌面上的平均照度和照度均匀度，黑板面上的平均照度和照度均匀度，教室照明功率密度，统一眩光值，色温及显色指数等指标。各改造项目的业主单位应参与教室抽样，现场验收的教室抽样样本应随机抽取，兼顾同一项目中不同学校，且同一学校的不同类型的教室，满足分布均匀，具有代表性的要求；抽测教室比例不低于该项目教室总数的3%，且至少抽测一间教室（样板间教室不纳入计算）。</w:t>
      </w:r>
    </w:p>
    <w:p>
      <w:pPr>
        <w:keepNext w:val="0"/>
        <w:keepLines w:val="0"/>
        <w:pageBreakBefore w:val="0"/>
        <w:widowControl w:val="0"/>
        <w:wordWrap/>
        <w:overflowPunct/>
        <w:topLinePunct w:val="0"/>
        <w:autoSpaceDE/>
        <w:autoSpaceDN/>
        <w:bidi w:val="0"/>
        <w:adjustRightInd/>
        <w:snapToGrid w:val="0"/>
        <w:spacing w:line="500" w:lineRule="exact"/>
        <w:ind w:left="0" w:leftChars="0" w:right="0" w:rightChars="0" w:firstLine="640" w:firstLineChars="200"/>
        <w:outlineLvl w:val="0"/>
        <w:rPr>
          <w:rFonts w:ascii="黑体" w:hAnsi="黑体" w:eastAsia="黑体" w:cs="黑体"/>
          <w:color w:val="auto"/>
          <w:sz w:val="32"/>
          <w:szCs w:val="32"/>
        </w:rPr>
      </w:pPr>
      <w:r>
        <w:rPr>
          <w:rFonts w:hint="eastAsia" w:ascii="黑体" w:hAnsi="黑体" w:eastAsia="黑体" w:cs="黑体"/>
          <w:color w:val="auto"/>
          <w:sz w:val="32"/>
          <w:szCs w:val="32"/>
        </w:rPr>
        <w:t>九、现场检测方法</w:t>
      </w:r>
    </w:p>
    <w:p>
      <w:pPr>
        <w:keepNext w:val="0"/>
        <w:keepLines w:val="0"/>
        <w:pageBreakBefore w:val="0"/>
        <w:widowControl w:val="0"/>
        <w:wordWrap/>
        <w:overflowPunct/>
        <w:topLinePunct w:val="0"/>
        <w:autoSpaceDE/>
        <w:autoSpaceDN/>
        <w:bidi w:val="0"/>
        <w:adjustRightInd/>
        <w:spacing w:line="50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场检测应在没有天然光和其他非被测光源影响下进行，应排除杂散光射入光接受器，并应防止各类人员和物体对光接受器造成遮挡。现场进行照明测试时，LED灯具在燃点15min后进行，测试人员应具有相应的资质和能力，测试设备应经过校准并在有效期内。</w:t>
      </w:r>
    </w:p>
    <w:p>
      <w:pPr>
        <w:keepNext w:val="0"/>
        <w:keepLines w:val="0"/>
        <w:pageBreakBefore w:val="0"/>
        <w:widowControl w:val="0"/>
        <w:wordWrap/>
        <w:overflowPunct/>
        <w:topLinePunct w:val="0"/>
        <w:autoSpaceDE/>
        <w:autoSpaceDN/>
        <w:bidi w:val="0"/>
        <w:adjustRightInd/>
        <w:spacing w:line="50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现场检测内容包括：课桌面平均照度和照度均匀度、黑板平均照度和照度均匀度、统一眩光值、照明功率密度、灯具色温和显色指数等，上述内容宜按T/JYBZ 025规定的方法进行测试。</w:t>
      </w:r>
    </w:p>
    <w:p>
      <w:pPr>
        <w:keepNext w:val="0"/>
        <w:keepLines w:val="0"/>
        <w:pageBreakBefore w:val="0"/>
        <w:widowControl w:val="0"/>
        <w:wordWrap/>
        <w:overflowPunct/>
        <w:topLinePunct w:val="0"/>
        <w:autoSpaceDE/>
        <w:autoSpaceDN/>
        <w:bidi w:val="0"/>
        <w:adjustRightInd/>
        <w:snapToGrid w:val="0"/>
        <w:spacing w:line="500" w:lineRule="exact"/>
        <w:ind w:left="0" w:leftChars="0" w:right="0" w:rightChars="0" w:firstLine="640" w:firstLineChars="200"/>
        <w:outlineLvl w:val="0"/>
        <w:rPr>
          <w:rFonts w:ascii="黑体" w:hAnsi="黑体" w:eastAsia="黑体" w:cs="黑体"/>
          <w:color w:val="auto"/>
          <w:sz w:val="32"/>
          <w:szCs w:val="32"/>
        </w:rPr>
      </w:pPr>
      <w:r>
        <w:rPr>
          <w:rFonts w:hint="eastAsia" w:ascii="黑体" w:hAnsi="黑体" w:eastAsia="黑体" w:cs="黑体"/>
          <w:color w:val="auto"/>
          <w:sz w:val="32"/>
          <w:szCs w:val="32"/>
        </w:rPr>
        <w:t>十、售后质保及维护要求</w:t>
      </w:r>
    </w:p>
    <w:p>
      <w:pPr>
        <w:keepNext w:val="0"/>
        <w:keepLines w:val="0"/>
        <w:pageBreakBefore w:val="0"/>
        <w:widowControl w:val="0"/>
        <w:wordWrap/>
        <w:overflowPunct/>
        <w:topLinePunct w:val="0"/>
        <w:autoSpaceDE/>
        <w:autoSpaceDN/>
        <w:bidi w:val="0"/>
        <w:adjustRightInd/>
        <w:spacing w:line="500" w:lineRule="exact"/>
        <w:ind w:left="0" w:leftChars="0" w:right="0" w:rightChars="0"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b w:val="0"/>
          <w:bCs w:val="0"/>
          <w:color w:val="auto"/>
          <w:kern w:val="2"/>
          <w:sz w:val="32"/>
          <w:szCs w:val="32"/>
          <w:lang w:val="en-US" w:eastAsia="zh-CN" w:bidi="ar-SA"/>
        </w:rPr>
        <w:t>供应商应提供不少于6年的质保。在质保期内，供应商应保证课桌面照度及均匀度、黑板面照度及均匀度、统一眩光值、功率密度、色温和显色指数等教室光环境指标达到国标及本指引要求。</w:t>
      </w:r>
    </w:p>
    <w:p>
      <w:pPr>
        <w:keepNext w:val="0"/>
        <w:keepLines w:val="0"/>
        <w:pageBreakBefore w:val="0"/>
        <w:widowControl w:val="0"/>
        <w:kinsoku w:val="0"/>
        <w:wordWrap/>
        <w:overflowPunct/>
        <w:topLinePunct w:val="0"/>
        <w:autoSpaceDE/>
        <w:autoSpaceDN/>
        <w:bidi w:val="0"/>
        <w:adjustRightInd/>
        <w:snapToGrid w:val="0"/>
        <w:spacing w:line="500" w:lineRule="exact"/>
        <w:ind w:left="0" w:leftChars="0" w:right="0" w:rightChars="0" w:firstLine="640"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b w:val="0"/>
          <w:bCs w:val="0"/>
          <w:color w:val="auto"/>
          <w:kern w:val="2"/>
          <w:sz w:val="32"/>
          <w:szCs w:val="32"/>
          <w:lang w:val="en-US" w:eastAsia="zh-CN" w:bidi="ar-SA"/>
        </w:rPr>
        <w:t>学校应安排专人负责，要求供应商在质保期内每学年对教室照明光环境情况进行检测（费用由供应商承担），并做好检测记录。对光环境不达标教室，要及时查找原因，进行规范整改。检测委托有CMA资质的省级及以上第三方检测机构进行，参照现场验收的抽样要求进行抽样，抽测教室比例不低于该项目教室总数的2%，且至少抽测一间教室。具体检测项目至少应包含课桌面照度及均匀度、黑板面照度及均匀度、统一眩光值、功率密度、色温和显色指数等指标，且相对于前一年的平均照度维持率应≥95%。同时复测每种类型灯具各一盏，检测项目包括蓝光危害、闪烁指标等，检测结果均应符合本指引要求。</w:t>
      </w:r>
    </w:p>
    <w:p>
      <w:pPr>
        <w:keepNext w:val="0"/>
        <w:keepLines w:val="0"/>
        <w:pageBreakBefore w:val="0"/>
        <w:widowControl w:val="0"/>
        <w:kinsoku w:val="0"/>
        <w:wordWrap/>
        <w:overflowPunct/>
        <w:topLinePunct w:val="0"/>
        <w:autoSpaceDE/>
        <w:autoSpaceDN/>
        <w:bidi w:val="0"/>
        <w:adjustRightInd/>
        <w:snapToGrid w:val="0"/>
        <w:spacing w:line="500" w:lineRule="exact"/>
        <w:ind w:left="0" w:leftChars="0" w:right="0" w:rightChars="0"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3.学校应加强教室照明日常管理维护工作，制定教室照</w:t>
      </w:r>
      <w:r>
        <w:rPr>
          <w:rFonts w:hint="eastAsia" w:ascii="仿宋_GB2312" w:hAnsi="仿宋_GB2312" w:eastAsia="仿宋_GB2312" w:cs="仿宋_GB2312"/>
          <w:color w:val="auto"/>
          <w:spacing w:val="-6"/>
          <w:sz w:val="32"/>
          <w:szCs w:val="32"/>
        </w:rPr>
        <w:t>明管理维护制度，做好日常维护，每学期清洁照明装置表面</w:t>
      </w:r>
      <w:r>
        <w:rPr>
          <w:rFonts w:hint="eastAsia" w:ascii="仿宋_GB2312" w:hAnsi="仿宋_GB2312" w:eastAsia="仿宋_GB2312" w:cs="仿宋_GB2312"/>
          <w:color w:val="auto"/>
          <w:sz w:val="32"/>
          <w:szCs w:val="32"/>
        </w:rPr>
        <w:t>，保持教室照明环境满足照明标准要求。</w:t>
      </w:r>
    </w:p>
    <w:p>
      <w:pPr>
        <w:keepNext w:val="0"/>
        <w:keepLines w:val="0"/>
        <w:pageBreakBefore w:val="0"/>
        <w:widowControl w:val="0"/>
        <w:kinsoku w:val="0"/>
        <w:wordWrap/>
        <w:overflowPunct/>
        <w:topLinePunct w:val="0"/>
        <w:autoSpaceDE/>
        <w:autoSpaceDN/>
        <w:bidi w:val="0"/>
        <w:adjustRightInd/>
        <w:snapToGrid w:val="0"/>
        <w:spacing w:line="500" w:lineRule="exact"/>
        <w:ind w:left="0" w:leftChars="0" w:right="0" w:rightChars="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4.项目验收合格后，学校应做好项目档案管理，应保存</w:t>
      </w:r>
      <w:r>
        <w:rPr>
          <w:rFonts w:hint="eastAsia" w:ascii="仿宋_GB2312" w:hAnsi="仿宋_GB2312" w:eastAsia="仿宋_GB2312" w:cs="仿宋_GB2312"/>
          <w:color w:val="auto"/>
          <w:spacing w:val="-6"/>
          <w:sz w:val="32"/>
          <w:szCs w:val="32"/>
        </w:rPr>
        <w:t>项目相关的纸质及电子档案，至少包括项目采购的招标文件</w:t>
      </w:r>
      <w:r>
        <w:rPr>
          <w:rFonts w:hint="eastAsia" w:ascii="仿宋_GB2312" w:hAnsi="仿宋_GB2312" w:eastAsia="仿宋_GB2312" w:cs="仿宋_GB2312"/>
          <w:color w:val="auto"/>
          <w:sz w:val="32"/>
          <w:szCs w:val="32"/>
        </w:rPr>
        <w:t>、中标供应商的投标文件、采购合同、设计资料、安装说明书及现场施工图纸、相关检测报告、验收报告、结算资料等内容。</w:t>
      </w:r>
    </w:p>
    <w:p>
      <w:pPr>
        <w:keepNext w:val="0"/>
        <w:keepLines w:val="0"/>
        <w:pageBreakBefore w:val="0"/>
        <w:widowControl w:val="0"/>
        <w:kinsoku/>
        <w:wordWrap/>
        <w:overflowPunct/>
        <w:topLinePunct w:val="0"/>
        <w:bidi w:val="0"/>
        <w:snapToGrid/>
        <w:spacing w:line="620" w:lineRule="exact"/>
        <w:ind w:left="0" w:leftChars="0"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bidi w:val="0"/>
        <w:snapToGrid/>
        <w:spacing w:line="620" w:lineRule="exact"/>
        <w:ind w:left="0" w:leftChars="0"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bidi w:val="0"/>
        <w:snapToGrid/>
        <w:spacing w:line="620" w:lineRule="exact"/>
        <w:ind w:left="0" w:leftChars="0"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bidi w:val="0"/>
        <w:snapToGrid/>
        <w:spacing w:line="620" w:lineRule="exact"/>
        <w:ind w:left="0" w:leftChars="0"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bidi w:val="0"/>
        <w:snapToGrid/>
        <w:spacing w:line="620" w:lineRule="exact"/>
        <w:ind w:left="0" w:leftChars="0"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bidi w:val="0"/>
        <w:snapToGrid/>
        <w:spacing w:line="620" w:lineRule="exact"/>
        <w:ind w:left="0" w:leftChars="0"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bidi w:val="0"/>
        <w:snapToGrid/>
        <w:spacing w:line="620" w:lineRule="exact"/>
        <w:ind w:left="0" w:leftChars="0"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bidi w:val="0"/>
        <w:snapToGrid/>
        <w:spacing w:line="620" w:lineRule="exact"/>
        <w:ind w:left="0" w:leftChars="0"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bidi w:val="0"/>
        <w:snapToGrid/>
        <w:spacing w:line="620" w:lineRule="exact"/>
        <w:ind w:left="0" w:leftChars="0"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bidi w:val="0"/>
        <w:snapToGrid/>
        <w:spacing w:line="620" w:lineRule="exact"/>
        <w:ind w:left="0" w:leftChars="0" w:right="0" w:rightChars="0"/>
        <w:jc w:val="both"/>
        <w:textAlignment w:val="auto"/>
        <w:outlineLvl w:val="9"/>
        <w:rPr>
          <w:rFonts w:hint="eastAsia" w:ascii="仿宋_GB2312" w:hAnsi="仿宋_GB2312" w:eastAsia="仿宋_GB2312" w:cs="仿宋_GB2312"/>
          <w:color w:val="auto"/>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0ZmVmYTU1ZDdiZjA5Y2MyNmQwZmZmOWYzMGU2NmQifQ=="/>
  </w:docVars>
  <w:rsids>
    <w:rsidRoot w:val="65C67501"/>
    <w:rsid w:val="65C67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ascii="Calibri" w:hAnsi="Calibri" w:eastAsia="仿宋_GB2312" w:cs="Times New Roman"/>
      <w:kern w:val="2"/>
      <w:sz w:val="32"/>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ind w:left="916"/>
    </w:pPr>
    <w:rPr>
      <w:rFonts w:hint="eastAsia" w:ascii="宋体" w:hAnsi="宋体"/>
      <w:sz w:val="30"/>
    </w:rPr>
  </w:style>
  <w:style w:type="paragraph" w:styleId="4">
    <w:name w:val="Body Text First Indent"/>
    <w:basedOn w:val="3"/>
    <w:qFormat/>
    <w:uiPriority w:val="0"/>
    <w:pPr>
      <w:ind w:firstLine="420" w:firstLineChars="100"/>
    </w:pPr>
    <w:rPr>
      <w:rFonts w:ascii="Calibri" w:hAnsi="Calibri" w:eastAsia="宋体"/>
      <w:kern w:val="0"/>
      <w:sz w:val="20"/>
      <w:szCs w:val="20"/>
    </w:rPr>
  </w:style>
  <w:style w:type="paragraph" w:customStyle="1" w:styleId="7">
    <w:name w:val="字母编号列项（一级）"/>
    <w:qFormat/>
    <w:uiPriority w:val="0"/>
    <w:pPr>
      <w:tabs>
        <w:tab w:val="left" w:pos="846"/>
      </w:tabs>
      <w:ind w:left="845" w:hanging="419"/>
      <w:jc w:val="both"/>
    </w:pPr>
    <w:rPr>
      <w:rFonts w:ascii="宋体" w:hAnsi="Times New Roman" w:eastAsia="宋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2023-04-06T13:59:00Z</dcterms:created>
  <dc:creator>讷言敏行</dc:creator>
  <cp:lastModifiedBy>讷言敏行</cp:lastModifiedBy>
  <dcterms:modified xsi:type="dcterms:W3CDTF">2023-04-06T14:01:24Z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5168094A434F4939AF8343595E4210F2_11</vt:lpwstr>
  </property>
</Properties>
</file>